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32428832" w:displacedByCustomXml="next"/>
    <w:sdt>
      <w:sdtPr>
        <w:rPr>
          <w:rFonts w:ascii="Arial" w:eastAsia="Arial" w:hAnsi="Arial" w:cs="Times New Roman"/>
          <w:b w:val="0"/>
          <w:bCs w:val="0"/>
          <w:color w:val="000000"/>
          <w:kern w:val="2"/>
          <w:sz w:val="20"/>
          <w:szCs w:val="24"/>
          <w:lang w:val="en" w:eastAsia="en"/>
          <w14:ligatures w14:val="standardContextual"/>
        </w:rPr>
        <w:id w:val="-1414469634"/>
        <w:docPartObj>
          <w:docPartGallery w:val="Table of Contents"/>
          <w:docPartUnique/>
        </w:docPartObj>
      </w:sdtPr>
      <w:sdtEndPr>
        <w:rPr>
          <w:noProof/>
        </w:rPr>
      </w:sdtEndPr>
      <w:sdtContent>
        <w:p w14:paraId="18D08C0F" w14:textId="47EFCEAD" w:rsidR="00D6609D" w:rsidRDefault="00D6609D">
          <w:pPr>
            <w:pStyle w:val="TOCHeading"/>
          </w:pPr>
          <w:r>
            <w:t>Table of Contents</w:t>
          </w:r>
        </w:p>
        <w:p w14:paraId="3FA51419" w14:textId="10431640" w:rsidR="00D6609D" w:rsidRDefault="00D6609D">
          <w:pPr>
            <w:pStyle w:val="TOC1"/>
            <w:tabs>
              <w:tab w:val="right" w:leader="dot" w:pos="9350"/>
            </w:tabs>
            <w:rPr>
              <w:rFonts w:eastAsiaTheme="minorEastAsia" w:cstheme="minorBidi"/>
              <w:b w:val="0"/>
              <w:bCs w:val="0"/>
              <w:i w:val="0"/>
              <w:iCs w:val="0"/>
              <w:noProof/>
              <w:color w:val="auto"/>
              <w:lang w:val="en-US" w:eastAsia="en-US"/>
            </w:rPr>
          </w:pPr>
          <w:r>
            <w:rPr>
              <w:b w:val="0"/>
              <w:bCs w:val="0"/>
            </w:rPr>
            <w:fldChar w:fldCharType="begin"/>
          </w:r>
          <w:r>
            <w:instrText xml:space="preserve"> TOC \o "1-3" \h \z \u </w:instrText>
          </w:r>
          <w:r>
            <w:rPr>
              <w:b w:val="0"/>
              <w:bCs w:val="0"/>
            </w:rPr>
            <w:fldChar w:fldCharType="separate"/>
          </w:r>
          <w:hyperlink w:anchor="_Toc232497703" w:history="1">
            <w:r w:rsidRPr="00805D01">
              <w:rPr>
                <w:rStyle w:val="Hyperlink"/>
                <w:noProof/>
              </w:rPr>
              <w:t>Introduction</w:t>
            </w:r>
            <w:r>
              <w:rPr>
                <w:noProof/>
                <w:webHidden/>
              </w:rPr>
              <w:tab/>
            </w:r>
            <w:r>
              <w:rPr>
                <w:noProof/>
                <w:webHidden/>
              </w:rPr>
              <w:fldChar w:fldCharType="begin"/>
            </w:r>
            <w:r>
              <w:rPr>
                <w:noProof/>
                <w:webHidden/>
              </w:rPr>
              <w:instrText xml:space="preserve"> PAGEREF _Toc232497703 \h </w:instrText>
            </w:r>
            <w:r>
              <w:rPr>
                <w:noProof/>
                <w:webHidden/>
              </w:rPr>
            </w:r>
            <w:r>
              <w:rPr>
                <w:noProof/>
                <w:webHidden/>
              </w:rPr>
              <w:fldChar w:fldCharType="separate"/>
            </w:r>
            <w:r>
              <w:rPr>
                <w:noProof/>
                <w:webHidden/>
              </w:rPr>
              <w:t>1</w:t>
            </w:r>
            <w:r>
              <w:rPr>
                <w:noProof/>
                <w:webHidden/>
              </w:rPr>
              <w:fldChar w:fldCharType="end"/>
            </w:r>
          </w:hyperlink>
        </w:p>
        <w:p w14:paraId="3B00D5A7" w14:textId="775B96E9" w:rsidR="00D6609D" w:rsidRDefault="00D6609D">
          <w:pPr>
            <w:pStyle w:val="TOC1"/>
            <w:tabs>
              <w:tab w:val="right" w:leader="dot" w:pos="9350"/>
            </w:tabs>
            <w:rPr>
              <w:rFonts w:eastAsiaTheme="minorEastAsia" w:cstheme="minorBidi"/>
              <w:b w:val="0"/>
              <w:bCs w:val="0"/>
              <w:i w:val="0"/>
              <w:iCs w:val="0"/>
              <w:noProof/>
              <w:color w:val="auto"/>
              <w:lang w:val="en-US" w:eastAsia="en-US"/>
            </w:rPr>
          </w:pPr>
          <w:hyperlink w:anchor="_Toc232497704" w:history="1">
            <w:r w:rsidRPr="00805D01">
              <w:rPr>
                <w:rStyle w:val="Hyperlink"/>
                <w:noProof/>
              </w:rPr>
              <w:t>Services Terms &amp; Conditions</w:t>
            </w:r>
            <w:r>
              <w:rPr>
                <w:noProof/>
                <w:webHidden/>
              </w:rPr>
              <w:tab/>
            </w:r>
            <w:r>
              <w:rPr>
                <w:noProof/>
                <w:webHidden/>
              </w:rPr>
              <w:fldChar w:fldCharType="begin"/>
            </w:r>
            <w:r>
              <w:rPr>
                <w:noProof/>
                <w:webHidden/>
              </w:rPr>
              <w:instrText xml:space="preserve"> PAGEREF _Toc232497704 \h </w:instrText>
            </w:r>
            <w:r>
              <w:rPr>
                <w:noProof/>
                <w:webHidden/>
              </w:rPr>
            </w:r>
            <w:r>
              <w:rPr>
                <w:noProof/>
                <w:webHidden/>
              </w:rPr>
              <w:fldChar w:fldCharType="separate"/>
            </w:r>
            <w:r>
              <w:rPr>
                <w:noProof/>
                <w:webHidden/>
              </w:rPr>
              <w:t>1</w:t>
            </w:r>
            <w:r>
              <w:rPr>
                <w:noProof/>
                <w:webHidden/>
              </w:rPr>
              <w:fldChar w:fldCharType="end"/>
            </w:r>
          </w:hyperlink>
        </w:p>
        <w:p w14:paraId="2A1147F4" w14:textId="57489AF5" w:rsidR="00D6609D" w:rsidRDefault="00D6609D">
          <w:pPr>
            <w:pStyle w:val="TOC1"/>
            <w:tabs>
              <w:tab w:val="right" w:leader="dot" w:pos="9350"/>
            </w:tabs>
            <w:rPr>
              <w:rFonts w:eastAsiaTheme="minorEastAsia" w:cstheme="minorBidi"/>
              <w:b w:val="0"/>
              <w:bCs w:val="0"/>
              <w:i w:val="0"/>
              <w:iCs w:val="0"/>
              <w:noProof/>
              <w:color w:val="auto"/>
              <w:lang w:val="en-US" w:eastAsia="en-US"/>
            </w:rPr>
          </w:pPr>
          <w:hyperlink w:anchor="_Toc232497705" w:history="1">
            <w:r w:rsidRPr="00805D01">
              <w:rPr>
                <w:rStyle w:val="Hyperlink"/>
                <w:noProof/>
              </w:rPr>
              <w:t>PacketWatch Professional Services Overview</w:t>
            </w:r>
            <w:r>
              <w:rPr>
                <w:noProof/>
                <w:webHidden/>
              </w:rPr>
              <w:tab/>
            </w:r>
            <w:r>
              <w:rPr>
                <w:noProof/>
                <w:webHidden/>
              </w:rPr>
              <w:fldChar w:fldCharType="begin"/>
            </w:r>
            <w:r>
              <w:rPr>
                <w:noProof/>
                <w:webHidden/>
              </w:rPr>
              <w:instrText xml:space="preserve"> PAGEREF _Toc232497705 \h </w:instrText>
            </w:r>
            <w:r>
              <w:rPr>
                <w:noProof/>
                <w:webHidden/>
              </w:rPr>
            </w:r>
            <w:r>
              <w:rPr>
                <w:noProof/>
                <w:webHidden/>
              </w:rPr>
              <w:fldChar w:fldCharType="separate"/>
            </w:r>
            <w:r>
              <w:rPr>
                <w:noProof/>
                <w:webHidden/>
              </w:rPr>
              <w:t>2</w:t>
            </w:r>
            <w:r>
              <w:rPr>
                <w:noProof/>
                <w:webHidden/>
              </w:rPr>
              <w:fldChar w:fldCharType="end"/>
            </w:r>
          </w:hyperlink>
        </w:p>
        <w:p w14:paraId="74021EC6" w14:textId="602FFF68" w:rsidR="00D6609D" w:rsidRDefault="00D6609D">
          <w:pPr>
            <w:pStyle w:val="TOC1"/>
            <w:tabs>
              <w:tab w:val="right" w:leader="dot" w:pos="9350"/>
            </w:tabs>
            <w:rPr>
              <w:rFonts w:eastAsiaTheme="minorEastAsia" w:cstheme="minorBidi"/>
              <w:b w:val="0"/>
              <w:bCs w:val="0"/>
              <w:i w:val="0"/>
              <w:iCs w:val="0"/>
              <w:noProof/>
              <w:color w:val="auto"/>
              <w:lang w:val="en-US" w:eastAsia="en-US"/>
            </w:rPr>
          </w:pPr>
          <w:hyperlink w:anchor="_Toc232497706" w:history="1">
            <w:r w:rsidRPr="00805D01">
              <w:rPr>
                <w:rStyle w:val="Hyperlink"/>
                <w:noProof/>
              </w:rPr>
              <w:t>Detailed Service Description</w:t>
            </w:r>
            <w:r>
              <w:rPr>
                <w:noProof/>
                <w:webHidden/>
              </w:rPr>
              <w:tab/>
            </w:r>
            <w:r>
              <w:rPr>
                <w:noProof/>
                <w:webHidden/>
              </w:rPr>
              <w:fldChar w:fldCharType="begin"/>
            </w:r>
            <w:r>
              <w:rPr>
                <w:noProof/>
                <w:webHidden/>
              </w:rPr>
              <w:instrText xml:space="preserve"> PAGEREF _Toc232497706 \h </w:instrText>
            </w:r>
            <w:r>
              <w:rPr>
                <w:noProof/>
                <w:webHidden/>
              </w:rPr>
            </w:r>
            <w:r>
              <w:rPr>
                <w:noProof/>
                <w:webHidden/>
              </w:rPr>
              <w:fldChar w:fldCharType="separate"/>
            </w:r>
            <w:r>
              <w:rPr>
                <w:noProof/>
                <w:webHidden/>
              </w:rPr>
              <w:t>2</w:t>
            </w:r>
            <w:r>
              <w:rPr>
                <w:noProof/>
                <w:webHidden/>
              </w:rPr>
              <w:fldChar w:fldCharType="end"/>
            </w:r>
          </w:hyperlink>
        </w:p>
        <w:p w14:paraId="1063888B" w14:textId="634F8AA6"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07" w:history="1">
            <w:r w:rsidRPr="00805D01">
              <w:rPr>
                <w:rStyle w:val="Hyperlink"/>
                <w:noProof/>
              </w:rPr>
              <w:t>Onboarding</w:t>
            </w:r>
            <w:r>
              <w:rPr>
                <w:noProof/>
                <w:webHidden/>
              </w:rPr>
              <w:tab/>
            </w:r>
            <w:r>
              <w:rPr>
                <w:noProof/>
                <w:webHidden/>
              </w:rPr>
              <w:fldChar w:fldCharType="begin"/>
            </w:r>
            <w:r>
              <w:rPr>
                <w:noProof/>
                <w:webHidden/>
              </w:rPr>
              <w:instrText xml:space="preserve"> PAGEREF _Toc232497707 \h </w:instrText>
            </w:r>
            <w:r>
              <w:rPr>
                <w:noProof/>
                <w:webHidden/>
              </w:rPr>
            </w:r>
            <w:r>
              <w:rPr>
                <w:noProof/>
                <w:webHidden/>
              </w:rPr>
              <w:fldChar w:fldCharType="separate"/>
            </w:r>
            <w:r>
              <w:rPr>
                <w:noProof/>
                <w:webHidden/>
              </w:rPr>
              <w:t>2</w:t>
            </w:r>
            <w:r>
              <w:rPr>
                <w:noProof/>
                <w:webHidden/>
              </w:rPr>
              <w:fldChar w:fldCharType="end"/>
            </w:r>
          </w:hyperlink>
        </w:p>
        <w:p w14:paraId="557A04A7" w14:textId="39CC6835"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08" w:history="1">
            <w:r w:rsidRPr="00805D01">
              <w:rPr>
                <w:rStyle w:val="Hyperlink"/>
                <w:noProof/>
              </w:rPr>
              <w:t>Service Kick-Off Meeting</w:t>
            </w:r>
            <w:r>
              <w:rPr>
                <w:noProof/>
                <w:webHidden/>
              </w:rPr>
              <w:tab/>
            </w:r>
            <w:r>
              <w:rPr>
                <w:noProof/>
                <w:webHidden/>
              </w:rPr>
              <w:fldChar w:fldCharType="begin"/>
            </w:r>
            <w:r>
              <w:rPr>
                <w:noProof/>
                <w:webHidden/>
              </w:rPr>
              <w:instrText xml:space="preserve"> PAGEREF _Toc232497708 \h </w:instrText>
            </w:r>
            <w:r>
              <w:rPr>
                <w:noProof/>
                <w:webHidden/>
              </w:rPr>
            </w:r>
            <w:r>
              <w:rPr>
                <w:noProof/>
                <w:webHidden/>
              </w:rPr>
              <w:fldChar w:fldCharType="separate"/>
            </w:r>
            <w:r>
              <w:rPr>
                <w:noProof/>
                <w:webHidden/>
              </w:rPr>
              <w:t>2</w:t>
            </w:r>
            <w:r>
              <w:rPr>
                <w:noProof/>
                <w:webHidden/>
              </w:rPr>
              <w:fldChar w:fldCharType="end"/>
            </w:r>
          </w:hyperlink>
        </w:p>
        <w:p w14:paraId="4511516F" w14:textId="6B64819C"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09" w:history="1">
            <w:r w:rsidRPr="00805D01">
              <w:rPr>
                <w:rStyle w:val="Hyperlink"/>
                <w:rFonts w:ascii="Aptos" w:hAnsi="Aptos"/>
                <w:noProof/>
              </w:rPr>
              <w:t>Pre-Engagement Questionnaire</w:t>
            </w:r>
            <w:r>
              <w:rPr>
                <w:noProof/>
                <w:webHidden/>
              </w:rPr>
              <w:tab/>
            </w:r>
            <w:r>
              <w:rPr>
                <w:noProof/>
                <w:webHidden/>
              </w:rPr>
              <w:fldChar w:fldCharType="begin"/>
            </w:r>
            <w:r>
              <w:rPr>
                <w:noProof/>
                <w:webHidden/>
              </w:rPr>
              <w:instrText xml:space="preserve"> PAGEREF _Toc232497709 \h </w:instrText>
            </w:r>
            <w:r>
              <w:rPr>
                <w:noProof/>
                <w:webHidden/>
              </w:rPr>
            </w:r>
            <w:r>
              <w:rPr>
                <w:noProof/>
                <w:webHidden/>
              </w:rPr>
              <w:fldChar w:fldCharType="separate"/>
            </w:r>
            <w:r>
              <w:rPr>
                <w:noProof/>
                <w:webHidden/>
              </w:rPr>
              <w:t>2</w:t>
            </w:r>
            <w:r>
              <w:rPr>
                <w:noProof/>
                <w:webHidden/>
              </w:rPr>
              <w:fldChar w:fldCharType="end"/>
            </w:r>
          </w:hyperlink>
        </w:p>
        <w:p w14:paraId="446DF633" w14:textId="211F13E2"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10" w:history="1">
            <w:r w:rsidRPr="00805D01">
              <w:rPr>
                <w:rStyle w:val="Hyperlink"/>
                <w:noProof/>
              </w:rPr>
              <w:t>Review of IT Environment</w:t>
            </w:r>
            <w:r>
              <w:rPr>
                <w:noProof/>
                <w:webHidden/>
              </w:rPr>
              <w:tab/>
            </w:r>
            <w:r>
              <w:rPr>
                <w:noProof/>
                <w:webHidden/>
              </w:rPr>
              <w:fldChar w:fldCharType="begin"/>
            </w:r>
            <w:r>
              <w:rPr>
                <w:noProof/>
                <w:webHidden/>
              </w:rPr>
              <w:instrText xml:space="preserve"> PAGEREF _Toc232497710 \h </w:instrText>
            </w:r>
            <w:r>
              <w:rPr>
                <w:noProof/>
                <w:webHidden/>
              </w:rPr>
            </w:r>
            <w:r>
              <w:rPr>
                <w:noProof/>
                <w:webHidden/>
              </w:rPr>
              <w:fldChar w:fldCharType="separate"/>
            </w:r>
            <w:r>
              <w:rPr>
                <w:noProof/>
                <w:webHidden/>
              </w:rPr>
              <w:t>3</w:t>
            </w:r>
            <w:r>
              <w:rPr>
                <w:noProof/>
                <w:webHidden/>
              </w:rPr>
              <w:fldChar w:fldCharType="end"/>
            </w:r>
          </w:hyperlink>
        </w:p>
        <w:p w14:paraId="498AEB6D" w14:textId="078A0EB4"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11" w:history="1">
            <w:r w:rsidRPr="00805D01">
              <w:rPr>
                <w:rStyle w:val="Hyperlink"/>
                <w:noProof/>
              </w:rPr>
              <w:t>EDR Application Provisioning and Enablement</w:t>
            </w:r>
            <w:r>
              <w:rPr>
                <w:noProof/>
                <w:webHidden/>
              </w:rPr>
              <w:tab/>
            </w:r>
            <w:r>
              <w:rPr>
                <w:noProof/>
                <w:webHidden/>
              </w:rPr>
              <w:fldChar w:fldCharType="begin"/>
            </w:r>
            <w:r>
              <w:rPr>
                <w:noProof/>
                <w:webHidden/>
              </w:rPr>
              <w:instrText xml:space="preserve"> PAGEREF _Toc232497711 \h </w:instrText>
            </w:r>
            <w:r>
              <w:rPr>
                <w:noProof/>
                <w:webHidden/>
              </w:rPr>
            </w:r>
            <w:r>
              <w:rPr>
                <w:noProof/>
                <w:webHidden/>
              </w:rPr>
              <w:fldChar w:fldCharType="separate"/>
            </w:r>
            <w:r>
              <w:rPr>
                <w:noProof/>
                <w:webHidden/>
              </w:rPr>
              <w:t>3</w:t>
            </w:r>
            <w:r>
              <w:rPr>
                <w:noProof/>
                <w:webHidden/>
              </w:rPr>
              <w:fldChar w:fldCharType="end"/>
            </w:r>
          </w:hyperlink>
        </w:p>
        <w:p w14:paraId="717699D3" w14:textId="26B7E65D"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12" w:history="1">
            <w:r w:rsidRPr="00805D01">
              <w:rPr>
                <w:rStyle w:val="Hyperlink"/>
                <w:noProof/>
              </w:rPr>
              <w:t>Agent Rollout Assistance</w:t>
            </w:r>
            <w:r>
              <w:rPr>
                <w:noProof/>
                <w:webHidden/>
              </w:rPr>
              <w:tab/>
            </w:r>
            <w:r>
              <w:rPr>
                <w:noProof/>
                <w:webHidden/>
              </w:rPr>
              <w:fldChar w:fldCharType="begin"/>
            </w:r>
            <w:r>
              <w:rPr>
                <w:noProof/>
                <w:webHidden/>
              </w:rPr>
              <w:instrText xml:space="preserve"> PAGEREF _Toc232497712 \h </w:instrText>
            </w:r>
            <w:r>
              <w:rPr>
                <w:noProof/>
                <w:webHidden/>
              </w:rPr>
            </w:r>
            <w:r>
              <w:rPr>
                <w:noProof/>
                <w:webHidden/>
              </w:rPr>
              <w:fldChar w:fldCharType="separate"/>
            </w:r>
            <w:r>
              <w:rPr>
                <w:noProof/>
                <w:webHidden/>
              </w:rPr>
              <w:t>4</w:t>
            </w:r>
            <w:r>
              <w:rPr>
                <w:noProof/>
                <w:webHidden/>
              </w:rPr>
              <w:fldChar w:fldCharType="end"/>
            </w:r>
          </w:hyperlink>
        </w:p>
        <w:p w14:paraId="6DF81CB3" w14:textId="3146998D"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13" w:history="1">
            <w:r w:rsidRPr="00805D01">
              <w:rPr>
                <w:rStyle w:val="Hyperlink"/>
                <w:noProof/>
              </w:rPr>
              <w:t>PacketWatch Collector Deployment Assistance</w:t>
            </w:r>
            <w:r>
              <w:rPr>
                <w:noProof/>
                <w:webHidden/>
              </w:rPr>
              <w:tab/>
            </w:r>
            <w:r>
              <w:rPr>
                <w:noProof/>
                <w:webHidden/>
              </w:rPr>
              <w:fldChar w:fldCharType="begin"/>
            </w:r>
            <w:r>
              <w:rPr>
                <w:noProof/>
                <w:webHidden/>
              </w:rPr>
              <w:instrText xml:space="preserve"> PAGEREF _Toc232497713 \h </w:instrText>
            </w:r>
            <w:r>
              <w:rPr>
                <w:noProof/>
                <w:webHidden/>
              </w:rPr>
            </w:r>
            <w:r>
              <w:rPr>
                <w:noProof/>
                <w:webHidden/>
              </w:rPr>
              <w:fldChar w:fldCharType="separate"/>
            </w:r>
            <w:r>
              <w:rPr>
                <w:noProof/>
                <w:webHidden/>
              </w:rPr>
              <w:t>4</w:t>
            </w:r>
            <w:r>
              <w:rPr>
                <w:noProof/>
                <w:webHidden/>
              </w:rPr>
              <w:fldChar w:fldCharType="end"/>
            </w:r>
          </w:hyperlink>
        </w:p>
        <w:p w14:paraId="6271F231" w14:textId="758E6431"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14" w:history="1">
            <w:r w:rsidRPr="00805D01">
              <w:rPr>
                <w:rStyle w:val="Hyperlink"/>
                <w:noProof/>
              </w:rPr>
              <w:t>Onboarding Security Framework Assessment</w:t>
            </w:r>
            <w:r>
              <w:rPr>
                <w:noProof/>
                <w:webHidden/>
              </w:rPr>
              <w:tab/>
            </w:r>
            <w:r>
              <w:rPr>
                <w:noProof/>
                <w:webHidden/>
              </w:rPr>
              <w:fldChar w:fldCharType="begin"/>
            </w:r>
            <w:r>
              <w:rPr>
                <w:noProof/>
                <w:webHidden/>
              </w:rPr>
              <w:instrText xml:space="preserve"> PAGEREF _Toc232497714 \h </w:instrText>
            </w:r>
            <w:r>
              <w:rPr>
                <w:noProof/>
                <w:webHidden/>
              </w:rPr>
            </w:r>
            <w:r>
              <w:rPr>
                <w:noProof/>
                <w:webHidden/>
              </w:rPr>
              <w:fldChar w:fldCharType="separate"/>
            </w:r>
            <w:r>
              <w:rPr>
                <w:noProof/>
                <w:webHidden/>
              </w:rPr>
              <w:t>4</w:t>
            </w:r>
            <w:r>
              <w:rPr>
                <w:noProof/>
                <w:webHidden/>
              </w:rPr>
              <w:fldChar w:fldCharType="end"/>
            </w:r>
          </w:hyperlink>
        </w:p>
        <w:p w14:paraId="486522AF" w14:textId="7E2FFEF8"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15" w:history="1">
            <w:r w:rsidRPr="00805D01">
              <w:rPr>
                <w:rStyle w:val="Hyperlink"/>
                <w:rFonts w:ascii="Aptos" w:hAnsi="Aptos"/>
                <w:noProof/>
              </w:rPr>
              <w:t>Signals, Alerts, and Investigations</w:t>
            </w:r>
            <w:r>
              <w:rPr>
                <w:noProof/>
                <w:webHidden/>
              </w:rPr>
              <w:tab/>
            </w:r>
            <w:r>
              <w:rPr>
                <w:noProof/>
                <w:webHidden/>
              </w:rPr>
              <w:fldChar w:fldCharType="begin"/>
            </w:r>
            <w:r>
              <w:rPr>
                <w:noProof/>
                <w:webHidden/>
              </w:rPr>
              <w:instrText xml:space="preserve"> PAGEREF _Toc232497715 \h </w:instrText>
            </w:r>
            <w:r>
              <w:rPr>
                <w:noProof/>
                <w:webHidden/>
              </w:rPr>
            </w:r>
            <w:r>
              <w:rPr>
                <w:noProof/>
                <w:webHidden/>
              </w:rPr>
              <w:fldChar w:fldCharType="separate"/>
            </w:r>
            <w:r>
              <w:rPr>
                <w:noProof/>
                <w:webHidden/>
              </w:rPr>
              <w:t>5</w:t>
            </w:r>
            <w:r>
              <w:rPr>
                <w:noProof/>
                <w:webHidden/>
              </w:rPr>
              <w:fldChar w:fldCharType="end"/>
            </w:r>
          </w:hyperlink>
        </w:p>
        <w:p w14:paraId="6AF06817" w14:textId="73E1586C"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16" w:history="1">
            <w:r w:rsidRPr="00805D01">
              <w:rPr>
                <w:rStyle w:val="Hyperlink"/>
                <w:noProof/>
              </w:rPr>
              <w:t>Threat Hunting</w:t>
            </w:r>
            <w:r>
              <w:rPr>
                <w:noProof/>
                <w:webHidden/>
              </w:rPr>
              <w:tab/>
            </w:r>
            <w:r>
              <w:rPr>
                <w:noProof/>
                <w:webHidden/>
              </w:rPr>
              <w:fldChar w:fldCharType="begin"/>
            </w:r>
            <w:r>
              <w:rPr>
                <w:noProof/>
                <w:webHidden/>
              </w:rPr>
              <w:instrText xml:space="preserve"> PAGEREF _Toc232497716 \h </w:instrText>
            </w:r>
            <w:r>
              <w:rPr>
                <w:noProof/>
                <w:webHidden/>
              </w:rPr>
            </w:r>
            <w:r>
              <w:rPr>
                <w:noProof/>
                <w:webHidden/>
              </w:rPr>
              <w:fldChar w:fldCharType="separate"/>
            </w:r>
            <w:r>
              <w:rPr>
                <w:noProof/>
                <w:webHidden/>
              </w:rPr>
              <w:t>5</w:t>
            </w:r>
            <w:r>
              <w:rPr>
                <w:noProof/>
                <w:webHidden/>
              </w:rPr>
              <w:fldChar w:fldCharType="end"/>
            </w:r>
          </w:hyperlink>
        </w:p>
        <w:p w14:paraId="23D6365D" w14:textId="484D8B40"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17" w:history="1">
            <w:r w:rsidRPr="00805D01">
              <w:rPr>
                <w:rStyle w:val="Hyperlink"/>
                <w:noProof/>
              </w:rPr>
              <w:t>Emergency Client Access</w:t>
            </w:r>
            <w:r>
              <w:rPr>
                <w:noProof/>
                <w:webHidden/>
              </w:rPr>
              <w:tab/>
            </w:r>
            <w:r>
              <w:rPr>
                <w:noProof/>
                <w:webHidden/>
              </w:rPr>
              <w:fldChar w:fldCharType="begin"/>
            </w:r>
            <w:r>
              <w:rPr>
                <w:noProof/>
                <w:webHidden/>
              </w:rPr>
              <w:instrText xml:space="preserve"> PAGEREF _Toc232497717 \h </w:instrText>
            </w:r>
            <w:r>
              <w:rPr>
                <w:noProof/>
                <w:webHidden/>
              </w:rPr>
            </w:r>
            <w:r>
              <w:rPr>
                <w:noProof/>
                <w:webHidden/>
              </w:rPr>
              <w:fldChar w:fldCharType="separate"/>
            </w:r>
            <w:r>
              <w:rPr>
                <w:noProof/>
                <w:webHidden/>
              </w:rPr>
              <w:t>5</w:t>
            </w:r>
            <w:r>
              <w:rPr>
                <w:noProof/>
                <w:webHidden/>
              </w:rPr>
              <w:fldChar w:fldCharType="end"/>
            </w:r>
          </w:hyperlink>
        </w:p>
        <w:p w14:paraId="6BF058F0" w14:textId="0327B562"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18" w:history="1">
            <w:r w:rsidRPr="00805D01">
              <w:rPr>
                <w:rStyle w:val="Hyperlink"/>
                <w:noProof/>
              </w:rPr>
              <w:t>Response and Remediation</w:t>
            </w:r>
            <w:r>
              <w:rPr>
                <w:noProof/>
                <w:webHidden/>
              </w:rPr>
              <w:tab/>
            </w:r>
            <w:r>
              <w:rPr>
                <w:noProof/>
                <w:webHidden/>
              </w:rPr>
              <w:fldChar w:fldCharType="begin"/>
            </w:r>
            <w:r>
              <w:rPr>
                <w:noProof/>
                <w:webHidden/>
              </w:rPr>
              <w:instrText xml:space="preserve"> PAGEREF _Toc232497718 \h </w:instrText>
            </w:r>
            <w:r>
              <w:rPr>
                <w:noProof/>
                <w:webHidden/>
              </w:rPr>
            </w:r>
            <w:r>
              <w:rPr>
                <w:noProof/>
                <w:webHidden/>
              </w:rPr>
              <w:fldChar w:fldCharType="separate"/>
            </w:r>
            <w:r>
              <w:rPr>
                <w:noProof/>
                <w:webHidden/>
              </w:rPr>
              <w:t>5</w:t>
            </w:r>
            <w:r>
              <w:rPr>
                <w:noProof/>
                <w:webHidden/>
              </w:rPr>
              <w:fldChar w:fldCharType="end"/>
            </w:r>
          </w:hyperlink>
        </w:p>
        <w:p w14:paraId="7E90D024" w14:textId="57CE241B"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19" w:history="1">
            <w:r w:rsidRPr="00805D01">
              <w:rPr>
                <w:rStyle w:val="Hyperlink"/>
                <w:noProof/>
              </w:rPr>
              <w:t>Threat Response Actions</w:t>
            </w:r>
            <w:r>
              <w:rPr>
                <w:noProof/>
                <w:webHidden/>
              </w:rPr>
              <w:tab/>
            </w:r>
            <w:r>
              <w:rPr>
                <w:noProof/>
                <w:webHidden/>
              </w:rPr>
              <w:fldChar w:fldCharType="begin"/>
            </w:r>
            <w:r>
              <w:rPr>
                <w:noProof/>
                <w:webHidden/>
              </w:rPr>
              <w:instrText xml:space="preserve"> PAGEREF _Toc232497719 \h </w:instrText>
            </w:r>
            <w:r>
              <w:rPr>
                <w:noProof/>
                <w:webHidden/>
              </w:rPr>
            </w:r>
            <w:r>
              <w:rPr>
                <w:noProof/>
                <w:webHidden/>
              </w:rPr>
              <w:fldChar w:fldCharType="separate"/>
            </w:r>
            <w:r>
              <w:rPr>
                <w:noProof/>
                <w:webHidden/>
              </w:rPr>
              <w:t>5</w:t>
            </w:r>
            <w:r>
              <w:rPr>
                <w:noProof/>
                <w:webHidden/>
              </w:rPr>
              <w:fldChar w:fldCharType="end"/>
            </w:r>
          </w:hyperlink>
        </w:p>
        <w:p w14:paraId="148DF6EF" w14:textId="7272876B"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20" w:history="1">
            <w:r w:rsidRPr="00805D01">
              <w:rPr>
                <w:rStyle w:val="Hyperlink"/>
                <w:noProof/>
              </w:rPr>
              <w:t>Remote Investigation / Remediation</w:t>
            </w:r>
            <w:r>
              <w:rPr>
                <w:noProof/>
                <w:webHidden/>
              </w:rPr>
              <w:tab/>
            </w:r>
            <w:r>
              <w:rPr>
                <w:noProof/>
                <w:webHidden/>
              </w:rPr>
              <w:fldChar w:fldCharType="begin"/>
            </w:r>
            <w:r>
              <w:rPr>
                <w:noProof/>
                <w:webHidden/>
              </w:rPr>
              <w:instrText xml:space="preserve"> PAGEREF _Toc232497720 \h </w:instrText>
            </w:r>
            <w:r>
              <w:rPr>
                <w:noProof/>
                <w:webHidden/>
              </w:rPr>
            </w:r>
            <w:r>
              <w:rPr>
                <w:noProof/>
                <w:webHidden/>
              </w:rPr>
              <w:fldChar w:fldCharType="separate"/>
            </w:r>
            <w:r>
              <w:rPr>
                <w:noProof/>
                <w:webHidden/>
              </w:rPr>
              <w:t>6</w:t>
            </w:r>
            <w:r>
              <w:rPr>
                <w:noProof/>
                <w:webHidden/>
              </w:rPr>
              <w:fldChar w:fldCharType="end"/>
            </w:r>
          </w:hyperlink>
        </w:p>
        <w:p w14:paraId="2546DA0F" w14:textId="65413D64"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21" w:history="1">
            <w:r w:rsidRPr="00805D01">
              <w:rPr>
                <w:rStyle w:val="Hyperlink"/>
                <w:noProof/>
              </w:rPr>
              <w:t>Bi-Weekly Meetings and Quarterly Executive Review</w:t>
            </w:r>
            <w:r>
              <w:rPr>
                <w:noProof/>
                <w:webHidden/>
              </w:rPr>
              <w:tab/>
            </w:r>
            <w:r>
              <w:rPr>
                <w:noProof/>
                <w:webHidden/>
              </w:rPr>
              <w:fldChar w:fldCharType="begin"/>
            </w:r>
            <w:r>
              <w:rPr>
                <w:noProof/>
                <w:webHidden/>
              </w:rPr>
              <w:instrText xml:space="preserve"> PAGEREF _Toc232497721 \h </w:instrText>
            </w:r>
            <w:r>
              <w:rPr>
                <w:noProof/>
                <w:webHidden/>
              </w:rPr>
            </w:r>
            <w:r>
              <w:rPr>
                <w:noProof/>
                <w:webHidden/>
              </w:rPr>
              <w:fldChar w:fldCharType="separate"/>
            </w:r>
            <w:r>
              <w:rPr>
                <w:noProof/>
                <w:webHidden/>
              </w:rPr>
              <w:t>6</w:t>
            </w:r>
            <w:r>
              <w:rPr>
                <w:noProof/>
                <w:webHidden/>
              </w:rPr>
              <w:fldChar w:fldCharType="end"/>
            </w:r>
          </w:hyperlink>
        </w:p>
        <w:p w14:paraId="2A2843DF" w14:textId="459A2ABF"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22" w:history="1">
            <w:r w:rsidRPr="00805D01">
              <w:rPr>
                <w:rStyle w:val="Hyperlink"/>
                <w:noProof/>
              </w:rPr>
              <w:t>Incident Response</w:t>
            </w:r>
            <w:r>
              <w:rPr>
                <w:noProof/>
                <w:webHidden/>
              </w:rPr>
              <w:tab/>
            </w:r>
            <w:r>
              <w:rPr>
                <w:noProof/>
                <w:webHidden/>
              </w:rPr>
              <w:fldChar w:fldCharType="begin"/>
            </w:r>
            <w:r>
              <w:rPr>
                <w:noProof/>
                <w:webHidden/>
              </w:rPr>
              <w:instrText xml:space="preserve"> PAGEREF _Toc232497722 \h </w:instrText>
            </w:r>
            <w:r>
              <w:rPr>
                <w:noProof/>
                <w:webHidden/>
              </w:rPr>
            </w:r>
            <w:r>
              <w:rPr>
                <w:noProof/>
                <w:webHidden/>
              </w:rPr>
              <w:fldChar w:fldCharType="separate"/>
            </w:r>
            <w:r>
              <w:rPr>
                <w:noProof/>
                <w:webHidden/>
              </w:rPr>
              <w:t>6</w:t>
            </w:r>
            <w:r>
              <w:rPr>
                <w:noProof/>
                <w:webHidden/>
              </w:rPr>
              <w:fldChar w:fldCharType="end"/>
            </w:r>
          </w:hyperlink>
        </w:p>
        <w:p w14:paraId="65C0945B" w14:textId="6EC78AA0"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23" w:history="1">
            <w:r w:rsidRPr="00805D01">
              <w:rPr>
                <w:rStyle w:val="Hyperlink"/>
                <w:noProof/>
              </w:rPr>
              <w:t>PacketWatch Professional Services Limited-Service Warranty</w:t>
            </w:r>
            <w:r>
              <w:rPr>
                <w:noProof/>
                <w:webHidden/>
              </w:rPr>
              <w:tab/>
            </w:r>
            <w:r>
              <w:rPr>
                <w:noProof/>
                <w:webHidden/>
              </w:rPr>
              <w:fldChar w:fldCharType="begin"/>
            </w:r>
            <w:r>
              <w:rPr>
                <w:noProof/>
                <w:webHidden/>
              </w:rPr>
              <w:instrText xml:space="preserve"> PAGEREF _Toc232497723 \h </w:instrText>
            </w:r>
            <w:r>
              <w:rPr>
                <w:noProof/>
                <w:webHidden/>
              </w:rPr>
            </w:r>
            <w:r>
              <w:rPr>
                <w:noProof/>
                <w:webHidden/>
              </w:rPr>
              <w:fldChar w:fldCharType="separate"/>
            </w:r>
            <w:r>
              <w:rPr>
                <w:noProof/>
                <w:webHidden/>
              </w:rPr>
              <w:t>6</w:t>
            </w:r>
            <w:r>
              <w:rPr>
                <w:noProof/>
                <w:webHidden/>
              </w:rPr>
              <w:fldChar w:fldCharType="end"/>
            </w:r>
          </w:hyperlink>
        </w:p>
        <w:p w14:paraId="280858CD" w14:textId="36A76EE3"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24" w:history="1">
            <w:r w:rsidRPr="00805D01">
              <w:rPr>
                <w:rStyle w:val="Hyperlink"/>
                <w:rFonts w:ascii="Aptos" w:hAnsi="Aptos"/>
                <w:noProof/>
              </w:rPr>
              <w:t>Remote Incident Response Services (Outside of Limited-Service Warranty)</w:t>
            </w:r>
            <w:r>
              <w:rPr>
                <w:noProof/>
                <w:webHidden/>
              </w:rPr>
              <w:tab/>
            </w:r>
            <w:r>
              <w:rPr>
                <w:noProof/>
                <w:webHidden/>
              </w:rPr>
              <w:fldChar w:fldCharType="begin"/>
            </w:r>
            <w:r>
              <w:rPr>
                <w:noProof/>
                <w:webHidden/>
              </w:rPr>
              <w:instrText xml:space="preserve"> PAGEREF _Toc232497724 \h </w:instrText>
            </w:r>
            <w:r>
              <w:rPr>
                <w:noProof/>
                <w:webHidden/>
              </w:rPr>
            </w:r>
            <w:r>
              <w:rPr>
                <w:noProof/>
                <w:webHidden/>
              </w:rPr>
              <w:fldChar w:fldCharType="separate"/>
            </w:r>
            <w:r>
              <w:rPr>
                <w:noProof/>
                <w:webHidden/>
              </w:rPr>
              <w:t>6</w:t>
            </w:r>
            <w:r>
              <w:rPr>
                <w:noProof/>
                <w:webHidden/>
              </w:rPr>
              <w:fldChar w:fldCharType="end"/>
            </w:r>
          </w:hyperlink>
        </w:p>
        <w:p w14:paraId="63437FF8" w14:textId="055D216E"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25" w:history="1">
            <w:r w:rsidRPr="00805D01">
              <w:rPr>
                <w:rStyle w:val="Hyperlink"/>
                <w:noProof/>
              </w:rPr>
              <w:t>Data Storage Limitations</w:t>
            </w:r>
            <w:r>
              <w:rPr>
                <w:noProof/>
                <w:webHidden/>
              </w:rPr>
              <w:tab/>
            </w:r>
            <w:r>
              <w:rPr>
                <w:noProof/>
                <w:webHidden/>
              </w:rPr>
              <w:fldChar w:fldCharType="begin"/>
            </w:r>
            <w:r>
              <w:rPr>
                <w:noProof/>
                <w:webHidden/>
              </w:rPr>
              <w:instrText xml:space="preserve"> PAGEREF _Toc232497725 \h </w:instrText>
            </w:r>
            <w:r>
              <w:rPr>
                <w:noProof/>
                <w:webHidden/>
              </w:rPr>
            </w:r>
            <w:r>
              <w:rPr>
                <w:noProof/>
                <w:webHidden/>
              </w:rPr>
              <w:fldChar w:fldCharType="separate"/>
            </w:r>
            <w:r>
              <w:rPr>
                <w:noProof/>
                <w:webHidden/>
              </w:rPr>
              <w:t>7</w:t>
            </w:r>
            <w:r>
              <w:rPr>
                <w:noProof/>
                <w:webHidden/>
              </w:rPr>
              <w:fldChar w:fldCharType="end"/>
            </w:r>
          </w:hyperlink>
        </w:p>
        <w:p w14:paraId="2F914295" w14:textId="5ECEE623"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26" w:history="1">
            <w:r w:rsidRPr="00805D01">
              <w:rPr>
                <w:rStyle w:val="Hyperlink"/>
                <w:noProof/>
              </w:rPr>
              <w:t>Data Storage Locations</w:t>
            </w:r>
            <w:r>
              <w:rPr>
                <w:noProof/>
                <w:webHidden/>
              </w:rPr>
              <w:tab/>
            </w:r>
            <w:r>
              <w:rPr>
                <w:noProof/>
                <w:webHidden/>
              </w:rPr>
              <w:fldChar w:fldCharType="begin"/>
            </w:r>
            <w:r>
              <w:rPr>
                <w:noProof/>
                <w:webHidden/>
              </w:rPr>
              <w:instrText xml:space="preserve"> PAGEREF _Toc232497726 \h </w:instrText>
            </w:r>
            <w:r>
              <w:rPr>
                <w:noProof/>
                <w:webHidden/>
              </w:rPr>
            </w:r>
            <w:r>
              <w:rPr>
                <w:noProof/>
                <w:webHidden/>
              </w:rPr>
              <w:fldChar w:fldCharType="separate"/>
            </w:r>
            <w:r>
              <w:rPr>
                <w:noProof/>
                <w:webHidden/>
              </w:rPr>
              <w:t>8</w:t>
            </w:r>
            <w:r>
              <w:rPr>
                <w:noProof/>
                <w:webHidden/>
              </w:rPr>
              <w:fldChar w:fldCharType="end"/>
            </w:r>
          </w:hyperlink>
        </w:p>
        <w:p w14:paraId="72B420C6" w14:textId="6B0F610C"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27" w:history="1">
            <w:r w:rsidRPr="00805D01">
              <w:rPr>
                <w:rStyle w:val="Hyperlink"/>
                <w:noProof/>
              </w:rPr>
              <w:t>Service Level Agreement (SLA)</w:t>
            </w:r>
            <w:r>
              <w:rPr>
                <w:noProof/>
                <w:webHidden/>
              </w:rPr>
              <w:tab/>
            </w:r>
            <w:r>
              <w:rPr>
                <w:noProof/>
                <w:webHidden/>
              </w:rPr>
              <w:fldChar w:fldCharType="begin"/>
            </w:r>
            <w:r>
              <w:rPr>
                <w:noProof/>
                <w:webHidden/>
              </w:rPr>
              <w:instrText xml:space="preserve"> PAGEREF _Toc232497727 \h </w:instrText>
            </w:r>
            <w:r>
              <w:rPr>
                <w:noProof/>
                <w:webHidden/>
              </w:rPr>
            </w:r>
            <w:r>
              <w:rPr>
                <w:noProof/>
                <w:webHidden/>
              </w:rPr>
              <w:fldChar w:fldCharType="separate"/>
            </w:r>
            <w:r>
              <w:rPr>
                <w:noProof/>
                <w:webHidden/>
              </w:rPr>
              <w:t>8</w:t>
            </w:r>
            <w:r>
              <w:rPr>
                <w:noProof/>
                <w:webHidden/>
              </w:rPr>
              <w:fldChar w:fldCharType="end"/>
            </w:r>
          </w:hyperlink>
        </w:p>
        <w:p w14:paraId="035A332F" w14:textId="6983762E"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28" w:history="1">
            <w:r w:rsidRPr="00805D01">
              <w:rPr>
                <w:rStyle w:val="Hyperlink"/>
                <w:noProof/>
              </w:rPr>
              <w:t>Severity Determination</w:t>
            </w:r>
            <w:r>
              <w:rPr>
                <w:noProof/>
                <w:webHidden/>
              </w:rPr>
              <w:tab/>
            </w:r>
            <w:r>
              <w:rPr>
                <w:noProof/>
                <w:webHidden/>
              </w:rPr>
              <w:fldChar w:fldCharType="begin"/>
            </w:r>
            <w:r>
              <w:rPr>
                <w:noProof/>
                <w:webHidden/>
              </w:rPr>
              <w:instrText xml:space="preserve"> PAGEREF _Toc232497728 \h </w:instrText>
            </w:r>
            <w:r>
              <w:rPr>
                <w:noProof/>
                <w:webHidden/>
              </w:rPr>
            </w:r>
            <w:r>
              <w:rPr>
                <w:noProof/>
                <w:webHidden/>
              </w:rPr>
              <w:fldChar w:fldCharType="separate"/>
            </w:r>
            <w:r>
              <w:rPr>
                <w:noProof/>
                <w:webHidden/>
              </w:rPr>
              <w:t>8</w:t>
            </w:r>
            <w:r>
              <w:rPr>
                <w:noProof/>
                <w:webHidden/>
              </w:rPr>
              <w:fldChar w:fldCharType="end"/>
            </w:r>
          </w:hyperlink>
        </w:p>
        <w:p w14:paraId="366A5117" w14:textId="523063DD"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29" w:history="1">
            <w:r w:rsidRPr="00805D01">
              <w:rPr>
                <w:rStyle w:val="Hyperlink"/>
                <w:noProof/>
              </w:rPr>
              <w:t xml:space="preserve">PacketWatch Professional Services Alert </w:t>
            </w:r>
            <w:r w:rsidRPr="00805D01">
              <w:rPr>
                <w:rStyle w:val="Hyperlink"/>
                <w:rFonts w:ascii="Aptos" w:hAnsi="Aptos"/>
                <w:noProof/>
              </w:rPr>
              <w:t xml:space="preserve">Severity </w:t>
            </w:r>
            <w:r w:rsidRPr="00805D01">
              <w:rPr>
                <w:rStyle w:val="Hyperlink"/>
                <w:noProof/>
              </w:rPr>
              <w:t>Categories</w:t>
            </w:r>
            <w:r>
              <w:rPr>
                <w:noProof/>
                <w:webHidden/>
              </w:rPr>
              <w:tab/>
            </w:r>
            <w:r>
              <w:rPr>
                <w:noProof/>
                <w:webHidden/>
              </w:rPr>
              <w:fldChar w:fldCharType="begin"/>
            </w:r>
            <w:r>
              <w:rPr>
                <w:noProof/>
                <w:webHidden/>
              </w:rPr>
              <w:instrText xml:space="preserve"> PAGEREF _Toc232497729 \h </w:instrText>
            </w:r>
            <w:r>
              <w:rPr>
                <w:noProof/>
                <w:webHidden/>
              </w:rPr>
            </w:r>
            <w:r>
              <w:rPr>
                <w:noProof/>
                <w:webHidden/>
              </w:rPr>
              <w:fldChar w:fldCharType="separate"/>
            </w:r>
            <w:r>
              <w:rPr>
                <w:noProof/>
                <w:webHidden/>
              </w:rPr>
              <w:t>8</w:t>
            </w:r>
            <w:r>
              <w:rPr>
                <w:noProof/>
                <w:webHidden/>
              </w:rPr>
              <w:fldChar w:fldCharType="end"/>
            </w:r>
          </w:hyperlink>
        </w:p>
        <w:p w14:paraId="27B5AFFB" w14:textId="6EC2CC9A"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30" w:history="1">
            <w:r w:rsidRPr="00805D01">
              <w:rPr>
                <w:rStyle w:val="Hyperlink"/>
                <w:noProof/>
              </w:rPr>
              <w:t>24 x 7 Coverage</w:t>
            </w:r>
            <w:r>
              <w:rPr>
                <w:noProof/>
                <w:webHidden/>
              </w:rPr>
              <w:tab/>
            </w:r>
            <w:r>
              <w:rPr>
                <w:noProof/>
                <w:webHidden/>
              </w:rPr>
              <w:fldChar w:fldCharType="begin"/>
            </w:r>
            <w:r>
              <w:rPr>
                <w:noProof/>
                <w:webHidden/>
              </w:rPr>
              <w:instrText xml:space="preserve"> PAGEREF _Toc232497730 \h </w:instrText>
            </w:r>
            <w:r>
              <w:rPr>
                <w:noProof/>
                <w:webHidden/>
              </w:rPr>
            </w:r>
            <w:r>
              <w:rPr>
                <w:noProof/>
                <w:webHidden/>
              </w:rPr>
              <w:fldChar w:fldCharType="separate"/>
            </w:r>
            <w:r>
              <w:rPr>
                <w:noProof/>
                <w:webHidden/>
              </w:rPr>
              <w:t>10</w:t>
            </w:r>
            <w:r>
              <w:rPr>
                <w:noProof/>
                <w:webHidden/>
              </w:rPr>
              <w:fldChar w:fldCharType="end"/>
            </w:r>
          </w:hyperlink>
        </w:p>
        <w:p w14:paraId="002CF4BF" w14:textId="49E85F43"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31" w:history="1">
            <w:r w:rsidRPr="00805D01">
              <w:rPr>
                <w:rStyle w:val="Hyperlink"/>
                <w:noProof/>
              </w:rPr>
              <w:t>Service Expectations</w:t>
            </w:r>
            <w:r>
              <w:rPr>
                <w:noProof/>
                <w:webHidden/>
              </w:rPr>
              <w:tab/>
            </w:r>
            <w:r>
              <w:rPr>
                <w:noProof/>
                <w:webHidden/>
              </w:rPr>
              <w:fldChar w:fldCharType="begin"/>
            </w:r>
            <w:r>
              <w:rPr>
                <w:noProof/>
                <w:webHidden/>
              </w:rPr>
              <w:instrText xml:space="preserve"> PAGEREF _Toc232497731 \h </w:instrText>
            </w:r>
            <w:r>
              <w:rPr>
                <w:noProof/>
                <w:webHidden/>
              </w:rPr>
            </w:r>
            <w:r>
              <w:rPr>
                <w:noProof/>
                <w:webHidden/>
              </w:rPr>
              <w:fldChar w:fldCharType="separate"/>
            </w:r>
            <w:r>
              <w:rPr>
                <w:noProof/>
                <w:webHidden/>
              </w:rPr>
              <w:t>10</w:t>
            </w:r>
            <w:r>
              <w:rPr>
                <w:noProof/>
                <w:webHidden/>
              </w:rPr>
              <w:fldChar w:fldCharType="end"/>
            </w:r>
          </w:hyperlink>
        </w:p>
        <w:p w14:paraId="57B5FE94" w14:textId="519261B2"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32" w:history="1">
            <w:r w:rsidRPr="00805D01">
              <w:rPr>
                <w:rStyle w:val="Hyperlink"/>
                <w:noProof/>
              </w:rPr>
              <w:t>Exclusions</w:t>
            </w:r>
            <w:r>
              <w:rPr>
                <w:noProof/>
                <w:webHidden/>
              </w:rPr>
              <w:tab/>
            </w:r>
            <w:r>
              <w:rPr>
                <w:noProof/>
                <w:webHidden/>
              </w:rPr>
              <w:fldChar w:fldCharType="begin"/>
            </w:r>
            <w:r>
              <w:rPr>
                <w:noProof/>
                <w:webHidden/>
              </w:rPr>
              <w:instrText xml:space="preserve"> PAGEREF _Toc232497732 \h </w:instrText>
            </w:r>
            <w:r>
              <w:rPr>
                <w:noProof/>
                <w:webHidden/>
              </w:rPr>
            </w:r>
            <w:r>
              <w:rPr>
                <w:noProof/>
                <w:webHidden/>
              </w:rPr>
              <w:fldChar w:fldCharType="separate"/>
            </w:r>
            <w:r>
              <w:rPr>
                <w:noProof/>
                <w:webHidden/>
              </w:rPr>
              <w:t>10</w:t>
            </w:r>
            <w:r>
              <w:rPr>
                <w:noProof/>
                <w:webHidden/>
              </w:rPr>
              <w:fldChar w:fldCharType="end"/>
            </w:r>
          </w:hyperlink>
        </w:p>
        <w:p w14:paraId="7BF460A2" w14:textId="56C7D10C"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33" w:history="1">
            <w:r w:rsidRPr="00805D01">
              <w:rPr>
                <w:rStyle w:val="Hyperlink"/>
                <w:noProof/>
              </w:rPr>
              <w:t>Out of Scope</w:t>
            </w:r>
            <w:r>
              <w:rPr>
                <w:noProof/>
                <w:webHidden/>
              </w:rPr>
              <w:tab/>
            </w:r>
            <w:r>
              <w:rPr>
                <w:noProof/>
                <w:webHidden/>
              </w:rPr>
              <w:fldChar w:fldCharType="begin"/>
            </w:r>
            <w:r>
              <w:rPr>
                <w:noProof/>
                <w:webHidden/>
              </w:rPr>
              <w:instrText xml:space="preserve"> PAGEREF _Toc232497733 \h </w:instrText>
            </w:r>
            <w:r>
              <w:rPr>
                <w:noProof/>
                <w:webHidden/>
              </w:rPr>
            </w:r>
            <w:r>
              <w:rPr>
                <w:noProof/>
                <w:webHidden/>
              </w:rPr>
              <w:fldChar w:fldCharType="separate"/>
            </w:r>
            <w:r>
              <w:rPr>
                <w:noProof/>
                <w:webHidden/>
              </w:rPr>
              <w:t>11</w:t>
            </w:r>
            <w:r>
              <w:rPr>
                <w:noProof/>
                <w:webHidden/>
              </w:rPr>
              <w:fldChar w:fldCharType="end"/>
            </w:r>
          </w:hyperlink>
        </w:p>
        <w:p w14:paraId="692C3284" w14:textId="336E9ADF"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34" w:history="1">
            <w:r w:rsidRPr="00805D01">
              <w:rPr>
                <w:rStyle w:val="Hyperlink"/>
                <w:noProof/>
              </w:rPr>
              <w:t>Offer-Specific Client Responsibilities</w:t>
            </w:r>
            <w:r>
              <w:rPr>
                <w:noProof/>
                <w:webHidden/>
              </w:rPr>
              <w:tab/>
            </w:r>
            <w:r>
              <w:rPr>
                <w:noProof/>
                <w:webHidden/>
              </w:rPr>
              <w:fldChar w:fldCharType="begin"/>
            </w:r>
            <w:r>
              <w:rPr>
                <w:noProof/>
                <w:webHidden/>
              </w:rPr>
              <w:instrText xml:space="preserve"> PAGEREF _Toc232497734 \h </w:instrText>
            </w:r>
            <w:r>
              <w:rPr>
                <w:noProof/>
                <w:webHidden/>
              </w:rPr>
            </w:r>
            <w:r>
              <w:rPr>
                <w:noProof/>
                <w:webHidden/>
              </w:rPr>
              <w:fldChar w:fldCharType="separate"/>
            </w:r>
            <w:r>
              <w:rPr>
                <w:noProof/>
                <w:webHidden/>
              </w:rPr>
              <w:t>11</w:t>
            </w:r>
            <w:r>
              <w:rPr>
                <w:noProof/>
                <w:webHidden/>
              </w:rPr>
              <w:fldChar w:fldCharType="end"/>
            </w:r>
          </w:hyperlink>
        </w:p>
        <w:p w14:paraId="5F9AE1F8" w14:textId="48ED973F"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35" w:history="1">
            <w:r w:rsidRPr="00805D01">
              <w:rPr>
                <w:rStyle w:val="Hyperlink"/>
                <w:noProof/>
              </w:rPr>
              <w:t>Glossary</w:t>
            </w:r>
            <w:r>
              <w:rPr>
                <w:noProof/>
                <w:webHidden/>
              </w:rPr>
              <w:tab/>
            </w:r>
            <w:r>
              <w:rPr>
                <w:noProof/>
                <w:webHidden/>
              </w:rPr>
              <w:fldChar w:fldCharType="begin"/>
            </w:r>
            <w:r>
              <w:rPr>
                <w:noProof/>
                <w:webHidden/>
              </w:rPr>
              <w:instrText xml:space="preserve"> PAGEREF _Toc232497735 \h </w:instrText>
            </w:r>
            <w:r>
              <w:rPr>
                <w:noProof/>
                <w:webHidden/>
              </w:rPr>
            </w:r>
            <w:r>
              <w:rPr>
                <w:noProof/>
                <w:webHidden/>
              </w:rPr>
              <w:fldChar w:fldCharType="separate"/>
            </w:r>
            <w:r>
              <w:rPr>
                <w:noProof/>
                <w:webHidden/>
              </w:rPr>
              <w:t>12</w:t>
            </w:r>
            <w:r>
              <w:rPr>
                <w:noProof/>
                <w:webHidden/>
              </w:rPr>
              <w:fldChar w:fldCharType="end"/>
            </w:r>
          </w:hyperlink>
        </w:p>
        <w:p w14:paraId="53DBD623" w14:textId="1527638A"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36" w:history="1">
            <w:r w:rsidRPr="00805D01">
              <w:rPr>
                <w:rStyle w:val="Hyperlink"/>
                <w:noProof/>
              </w:rPr>
              <w:t>General Client Responsibilities</w:t>
            </w:r>
            <w:r>
              <w:rPr>
                <w:noProof/>
                <w:webHidden/>
              </w:rPr>
              <w:tab/>
            </w:r>
            <w:r>
              <w:rPr>
                <w:noProof/>
                <w:webHidden/>
              </w:rPr>
              <w:fldChar w:fldCharType="begin"/>
            </w:r>
            <w:r>
              <w:rPr>
                <w:noProof/>
                <w:webHidden/>
              </w:rPr>
              <w:instrText xml:space="preserve"> PAGEREF _Toc232497736 \h </w:instrText>
            </w:r>
            <w:r>
              <w:rPr>
                <w:noProof/>
                <w:webHidden/>
              </w:rPr>
            </w:r>
            <w:r>
              <w:rPr>
                <w:noProof/>
                <w:webHidden/>
              </w:rPr>
              <w:fldChar w:fldCharType="separate"/>
            </w:r>
            <w:r>
              <w:rPr>
                <w:noProof/>
                <w:webHidden/>
              </w:rPr>
              <w:t>13</w:t>
            </w:r>
            <w:r>
              <w:rPr>
                <w:noProof/>
                <w:webHidden/>
              </w:rPr>
              <w:fldChar w:fldCharType="end"/>
            </w:r>
          </w:hyperlink>
        </w:p>
        <w:p w14:paraId="33B2DDE6" w14:textId="780A2634"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37" w:history="1">
            <w:r w:rsidRPr="00805D01">
              <w:rPr>
                <w:rStyle w:val="Hyperlink"/>
                <w:noProof/>
              </w:rPr>
              <w:t>Authority to Grant Access</w:t>
            </w:r>
            <w:r>
              <w:rPr>
                <w:noProof/>
                <w:webHidden/>
              </w:rPr>
              <w:tab/>
            </w:r>
            <w:r>
              <w:rPr>
                <w:noProof/>
                <w:webHidden/>
              </w:rPr>
              <w:fldChar w:fldCharType="begin"/>
            </w:r>
            <w:r>
              <w:rPr>
                <w:noProof/>
                <w:webHidden/>
              </w:rPr>
              <w:instrText xml:space="preserve"> PAGEREF _Toc232497737 \h </w:instrText>
            </w:r>
            <w:r>
              <w:rPr>
                <w:noProof/>
                <w:webHidden/>
              </w:rPr>
            </w:r>
            <w:r>
              <w:rPr>
                <w:noProof/>
                <w:webHidden/>
              </w:rPr>
              <w:fldChar w:fldCharType="separate"/>
            </w:r>
            <w:r>
              <w:rPr>
                <w:noProof/>
                <w:webHidden/>
              </w:rPr>
              <w:t>13</w:t>
            </w:r>
            <w:r>
              <w:rPr>
                <w:noProof/>
                <w:webHidden/>
              </w:rPr>
              <w:fldChar w:fldCharType="end"/>
            </w:r>
          </w:hyperlink>
        </w:p>
        <w:p w14:paraId="6FF78A95" w14:textId="1D30DD37"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38" w:history="1">
            <w:r w:rsidRPr="00805D01">
              <w:rPr>
                <w:rStyle w:val="Hyperlink"/>
                <w:noProof/>
              </w:rPr>
              <w:t>Non-solicitation</w:t>
            </w:r>
            <w:r>
              <w:rPr>
                <w:noProof/>
                <w:webHidden/>
              </w:rPr>
              <w:tab/>
            </w:r>
            <w:r>
              <w:rPr>
                <w:noProof/>
                <w:webHidden/>
              </w:rPr>
              <w:fldChar w:fldCharType="begin"/>
            </w:r>
            <w:r>
              <w:rPr>
                <w:noProof/>
                <w:webHidden/>
              </w:rPr>
              <w:instrText xml:space="preserve"> PAGEREF _Toc232497738 \h </w:instrText>
            </w:r>
            <w:r>
              <w:rPr>
                <w:noProof/>
                <w:webHidden/>
              </w:rPr>
            </w:r>
            <w:r>
              <w:rPr>
                <w:noProof/>
                <w:webHidden/>
              </w:rPr>
              <w:fldChar w:fldCharType="separate"/>
            </w:r>
            <w:r>
              <w:rPr>
                <w:noProof/>
                <w:webHidden/>
              </w:rPr>
              <w:t>13</w:t>
            </w:r>
            <w:r>
              <w:rPr>
                <w:noProof/>
                <w:webHidden/>
              </w:rPr>
              <w:fldChar w:fldCharType="end"/>
            </w:r>
          </w:hyperlink>
        </w:p>
        <w:p w14:paraId="068C61A8" w14:textId="6E515452"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39" w:history="1">
            <w:r w:rsidRPr="00805D01">
              <w:rPr>
                <w:rStyle w:val="Hyperlink"/>
                <w:noProof/>
              </w:rPr>
              <w:t>Data Backups</w:t>
            </w:r>
            <w:r>
              <w:rPr>
                <w:noProof/>
                <w:webHidden/>
              </w:rPr>
              <w:tab/>
            </w:r>
            <w:r>
              <w:rPr>
                <w:noProof/>
                <w:webHidden/>
              </w:rPr>
              <w:fldChar w:fldCharType="begin"/>
            </w:r>
            <w:r>
              <w:rPr>
                <w:noProof/>
                <w:webHidden/>
              </w:rPr>
              <w:instrText xml:space="preserve"> PAGEREF _Toc232497739 \h </w:instrText>
            </w:r>
            <w:r>
              <w:rPr>
                <w:noProof/>
                <w:webHidden/>
              </w:rPr>
            </w:r>
            <w:r>
              <w:rPr>
                <w:noProof/>
                <w:webHidden/>
              </w:rPr>
              <w:fldChar w:fldCharType="separate"/>
            </w:r>
            <w:r>
              <w:rPr>
                <w:noProof/>
                <w:webHidden/>
              </w:rPr>
              <w:t>14</w:t>
            </w:r>
            <w:r>
              <w:rPr>
                <w:noProof/>
                <w:webHidden/>
              </w:rPr>
              <w:fldChar w:fldCharType="end"/>
            </w:r>
          </w:hyperlink>
        </w:p>
        <w:p w14:paraId="528B1052" w14:textId="07B2EB0F"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40" w:history="1">
            <w:r w:rsidRPr="00805D01">
              <w:rPr>
                <w:rStyle w:val="Hyperlink"/>
                <w:noProof/>
              </w:rPr>
              <w:t>Sensitive Data</w:t>
            </w:r>
            <w:r>
              <w:rPr>
                <w:noProof/>
                <w:webHidden/>
              </w:rPr>
              <w:tab/>
            </w:r>
            <w:r>
              <w:rPr>
                <w:noProof/>
                <w:webHidden/>
              </w:rPr>
              <w:fldChar w:fldCharType="begin"/>
            </w:r>
            <w:r>
              <w:rPr>
                <w:noProof/>
                <w:webHidden/>
              </w:rPr>
              <w:instrText xml:space="preserve"> PAGEREF _Toc232497740 \h </w:instrText>
            </w:r>
            <w:r>
              <w:rPr>
                <w:noProof/>
                <w:webHidden/>
              </w:rPr>
            </w:r>
            <w:r>
              <w:rPr>
                <w:noProof/>
                <w:webHidden/>
              </w:rPr>
              <w:fldChar w:fldCharType="separate"/>
            </w:r>
            <w:r>
              <w:rPr>
                <w:noProof/>
                <w:webHidden/>
              </w:rPr>
              <w:t>14</w:t>
            </w:r>
            <w:r>
              <w:rPr>
                <w:noProof/>
                <w:webHidden/>
              </w:rPr>
              <w:fldChar w:fldCharType="end"/>
            </w:r>
          </w:hyperlink>
        </w:p>
        <w:p w14:paraId="3BFDECA9" w14:textId="22554250" w:rsidR="00D6609D" w:rsidRDefault="00D6609D">
          <w:pPr>
            <w:pStyle w:val="TOC1"/>
            <w:tabs>
              <w:tab w:val="right" w:leader="dot" w:pos="9350"/>
            </w:tabs>
            <w:rPr>
              <w:rFonts w:eastAsiaTheme="minorEastAsia" w:cstheme="minorBidi"/>
              <w:b w:val="0"/>
              <w:bCs w:val="0"/>
              <w:i w:val="0"/>
              <w:iCs w:val="0"/>
              <w:noProof/>
              <w:color w:val="auto"/>
              <w:lang w:val="en-US" w:eastAsia="en-US"/>
            </w:rPr>
          </w:pPr>
          <w:hyperlink w:anchor="_Toc232497741" w:history="1">
            <w:r w:rsidRPr="00805D01">
              <w:rPr>
                <w:rStyle w:val="Hyperlink"/>
                <w:noProof/>
              </w:rPr>
              <w:t xml:space="preserve">Exhibit </w:t>
            </w:r>
            <w:r w:rsidRPr="00805D01">
              <w:rPr>
                <w:rStyle w:val="Hyperlink"/>
                <w:rFonts w:ascii="Aptos" w:hAnsi="Aptos"/>
                <w:noProof/>
              </w:rPr>
              <w:t>A</w:t>
            </w:r>
            <w:r w:rsidRPr="00805D01">
              <w:rPr>
                <w:rStyle w:val="Hyperlink"/>
                <w:noProof/>
              </w:rPr>
              <w:t>: EDR Application Management – Shared Model RACI Matrix</w:t>
            </w:r>
            <w:r>
              <w:rPr>
                <w:noProof/>
                <w:webHidden/>
              </w:rPr>
              <w:tab/>
            </w:r>
            <w:r>
              <w:rPr>
                <w:noProof/>
                <w:webHidden/>
              </w:rPr>
              <w:fldChar w:fldCharType="begin"/>
            </w:r>
            <w:r>
              <w:rPr>
                <w:noProof/>
                <w:webHidden/>
              </w:rPr>
              <w:instrText xml:space="preserve"> PAGEREF _Toc232497741 \h </w:instrText>
            </w:r>
            <w:r>
              <w:rPr>
                <w:noProof/>
                <w:webHidden/>
              </w:rPr>
            </w:r>
            <w:r>
              <w:rPr>
                <w:noProof/>
                <w:webHidden/>
              </w:rPr>
              <w:fldChar w:fldCharType="separate"/>
            </w:r>
            <w:r>
              <w:rPr>
                <w:noProof/>
                <w:webHidden/>
              </w:rPr>
              <w:t>14</w:t>
            </w:r>
            <w:r>
              <w:rPr>
                <w:noProof/>
                <w:webHidden/>
              </w:rPr>
              <w:fldChar w:fldCharType="end"/>
            </w:r>
          </w:hyperlink>
        </w:p>
        <w:p w14:paraId="176CE531" w14:textId="420C7FFF" w:rsidR="00D6609D" w:rsidRDefault="00D6609D">
          <w:pPr>
            <w:pStyle w:val="TOC1"/>
            <w:tabs>
              <w:tab w:val="right" w:leader="dot" w:pos="9350"/>
            </w:tabs>
            <w:rPr>
              <w:rFonts w:eastAsiaTheme="minorEastAsia" w:cstheme="minorBidi"/>
              <w:b w:val="0"/>
              <w:bCs w:val="0"/>
              <w:i w:val="0"/>
              <w:iCs w:val="0"/>
              <w:noProof/>
              <w:color w:val="auto"/>
              <w:lang w:val="en-US" w:eastAsia="en-US"/>
            </w:rPr>
          </w:pPr>
          <w:hyperlink w:anchor="_Toc232497742" w:history="1">
            <w:r w:rsidRPr="00805D01">
              <w:rPr>
                <w:rStyle w:val="Hyperlink"/>
                <w:noProof/>
              </w:rPr>
              <w:t>Exhibit B - Technical Addendum: Minimum Collector Hardware Specifications</w:t>
            </w:r>
            <w:r>
              <w:rPr>
                <w:noProof/>
                <w:webHidden/>
              </w:rPr>
              <w:tab/>
            </w:r>
            <w:r>
              <w:rPr>
                <w:noProof/>
                <w:webHidden/>
              </w:rPr>
              <w:fldChar w:fldCharType="begin"/>
            </w:r>
            <w:r>
              <w:rPr>
                <w:noProof/>
                <w:webHidden/>
              </w:rPr>
              <w:instrText xml:space="preserve"> PAGEREF _Toc232497742 \h </w:instrText>
            </w:r>
            <w:r>
              <w:rPr>
                <w:noProof/>
                <w:webHidden/>
              </w:rPr>
            </w:r>
            <w:r>
              <w:rPr>
                <w:noProof/>
                <w:webHidden/>
              </w:rPr>
              <w:fldChar w:fldCharType="separate"/>
            </w:r>
            <w:r>
              <w:rPr>
                <w:noProof/>
                <w:webHidden/>
              </w:rPr>
              <w:t>16</w:t>
            </w:r>
            <w:r>
              <w:rPr>
                <w:noProof/>
                <w:webHidden/>
              </w:rPr>
              <w:fldChar w:fldCharType="end"/>
            </w:r>
          </w:hyperlink>
        </w:p>
        <w:p w14:paraId="47A13B74" w14:textId="64A7C322"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43" w:history="1">
            <w:r w:rsidRPr="00805D01">
              <w:rPr>
                <w:rStyle w:val="Hyperlink"/>
                <w:noProof/>
              </w:rPr>
              <w:t>Virtual Collector Deployment Requirements</w:t>
            </w:r>
            <w:r>
              <w:rPr>
                <w:noProof/>
                <w:webHidden/>
              </w:rPr>
              <w:tab/>
            </w:r>
            <w:r>
              <w:rPr>
                <w:noProof/>
                <w:webHidden/>
              </w:rPr>
              <w:fldChar w:fldCharType="begin"/>
            </w:r>
            <w:r>
              <w:rPr>
                <w:noProof/>
                <w:webHidden/>
              </w:rPr>
              <w:instrText xml:space="preserve"> PAGEREF _Toc232497743 \h </w:instrText>
            </w:r>
            <w:r>
              <w:rPr>
                <w:noProof/>
                <w:webHidden/>
              </w:rPr>
            </w:r>
            <w:r>
              <w:rPr>
                <w:noProof/>
                <w:webHidden/>
              </w:rPr>
              <w:fldChar w:fldCharType="separate"/>
            </w:r>
            <w:r>
              <w:rPr>
                <w:noProof/>
                <w:webHidden/>
              </w:rPr>
              <w:t>16</w:t>
            </w:r>
            <w:r>
              <w:rPr>
                <w:noProof/>
                <w:webHidden/>
              </w:rPr>
              <w:fldChar w:fldCharType="end"/>
            </w:r>
          </w:hyperlink>
        </w:p>
        <w:p w14:paraId="0F72A2E4" w14:textId="7C33D773" w:rsidR="00D6609D" w:rsidRDefault="00D6609D">
          <w:pPr>
            <w:pStyle w:val="TOC3"/>
            <w:tabs>
              <w:tab w:val="right" w:leader="dot" w:pos="9350"/>
            </w:tabs>
            <w:rPr>
              <w:rFonts w:eastAsiaTheme="minorEastAsia" w:cstheme="minorBidi"/>
              <w:noProof/>
              <w:color w:val="auto"/>
              <w:sz w:val="24"/>
              <w:szCs w:val="24"/>
              <w:lang w:val="en-US" w:eastAsia="en-US"/>
            </w:rPr>
          </w:pPr>
          <w:hyperlink w:anchor="_Toc232497744" w:history="1">
            <w:r w:rsidRPr="00805D01">
              <w:rPr>
                <w:rStyle w:val="Hyperlink"/>
                <w:noProof/>
              </w:rPr>
              <w:t>Public Cloud Collector Deployment Requirements</w:t>
            </w:r>
            <w:r>
              <w:rPr>
                <w:noProof/>
                <w:webHidden/>
              </w:rPr>
              <w:tab/>
            </w:r>
            <w:r>
              <w:rPr>
                <w:noProof/>
                <w:webHidden/>
              </w:rPr>
              <w:fldChar w:fldCharType="begin"/>
            </w:r>
            <w:r>
              <w:rPr>
                <w:noProof/>
                <w:webHidden/>
              </w:rPr>
              <w:instrText xml:space="preserve"> PAGEREF _Toc232497744 \h </w:instrText>
            </w:r>
            <w:r>
              <w:rPr>
                <w:noProof/>
                <w:webHidden/>
              </w:rPr>
            </w:r>
            <w:r>
              <w:rPr>
                <w:noProof/>
                <w:webHidden/>
              </w:rPr>
              <w:fldChar w:fldCharType="separate"/>
            </w:r>
            <w:r>
              <w:rPr>
                <w:noProof/>
                <w:webHidden/>
              </w:rPr>
              <w:t>17</w:t>
            </w:r>
            <w:r>
              <w:rPr>
                <w:noProof/>
                <w:webHidden/>
              </w:rPr>
              <w:fldChar w:fldCharType="end"/>
            </w:r>
          </w:hyperlink>
        </w:p>
        <w:p w14:paraId="3BDFBED3" w14:textId="249B35BA" w:rsidR="00D6609D" w:rsidRDefault="00D6609D">
          <w:pPr>
            <w:pStyle w:val="TOC1"/>
            <w:tabs>
              <w:tab w:val="right" w:leader="dot" w:pos="9350"/>
            </w:tabs>
            <w:rPr>
              <w:rFonts w:eastAsiaTheme="minorEastAsia" w:cstheme="minorBidi"/>
              <w:b w:val="0"/>
              <w:bCs w:val="0"/>
              <w:i w:val="0"/>
              <w:iCs w:val="0"/>
              <w:noProof/>
              <w:color w:val="auto"/>
              <w:lang w:val="en-US" w:eastAsia="en-US"/>
            </w:rPr>
          </w:pPr>
          <w:hyperlink w:anchor="_Toc232497745" w:history="1">
            <w:r w:rsidRPr="00805D01">
              <w:rPr>
                <w:rStyle w:val="Hyperlink"/>
                <w:noProof/>
              </w:rPr>
              <w:t>Exhibit C - Order Line Items and Commercial Schedule</w:t>
            </w:r>
            <w:r>
              <w:rPr>
                <w:noProof/>
                <w:webHidden/>
              </w:rPr>
              <w:tab/>
            </w:r>
            <w:r>
              <w:rPr>
                <w:noProof/>
                <w:webHidden/>
              </w:rPr>
              <w:fldChar w:fldCharType="begin"/>
            </w:r>
            <w:r>
              <w:rPr>
                <w:noProof/>
                <w:webHidden/>
              </w:rPr>
              <w:instrText xml:space="preserve"> PAGEREF _Toc232497745 \h </w:instrText>
            </w:r>
            <w:r>
              <w:rPr>
                <w:noProof/>
                <w:webHidden/>
              </w:rPr>
            </w:r>
            <w:r>
              <w:rPr>
                <w:noProof/>
                <w:webHidden/>
              </w:rPr>
              <w:fldChar w:fldCharType="separate"/>
            </w:r>
            <w:r>
              <w:rPr>
                <w:noProof/>
                <w:webHidden/>
              </w:rPr>
              <w:t>18</w:t>
            </w:r>
            <w:r>
              <w:rPr>
                <w:noProof/>
                <w:webHidden/>
              </w:rPr>
              <w:fldChar w:fldCharType="end"/>
            </w:r>
          </w:hyperlink>
        </w:p>
        <w:p w14:paraId="11A86EC2" w14:textId="60590279" w:rsidR="00D6609D" w:rsidRDefault="00D6609D">
          <w:pPr>
            <w:pStyle w:val="TOC1"/>
            <w:tabs>
              <w:tab w:val="right" w:leader="dot" w:pos="9350"/>
            </w:tabs>
            <w:rPr>
              <w:rFonts w:eastAsiaTheme="minorEastAsia" w:cstheme="minorBidi"/>
              <w:b w:val="0"/>
              <w:bCs w:val="0"/>
              <w:i w:val="0"/>
              <w:iCs w:val="0"/>
              <w:noProof/>
              <w:color w:val="auto"/>
              <w:lang w:val="en-US" w:eastAsia="en-US"/>
            </w:rPr>
          </w:pPr>
          <w:hyperlink w:anchor="_Toc232497746" w:history="1">
            <w:r w:rsidRPr="00805D01">
              <w:rPr>
                <w:rStyle w:val="Hyperlink"/>
                <w:noProof/>
              </w:rPr>
              <w:t>Exhibit D - WireSight Platform Description</w:t>
            </w:r>
            <w:r>
              <w:rPr>
                <w:noProof/>
                <w:webHidden/>
              </w:rPr>
              <w:tab/>
            </w:r>
            <w:r>
              <w:rPr>
                <w:noProof/>
                <w:webHidden/>
              </w:rPr>
              <w:fldChar w:fldCharType="begin"/>
            </w:r>
            <w:r>
              <w:rPr>
                <w:noProof/>
                <w:webHidden/>
              </w:rPr>
              <w:instrText xml:space="preserve"> PAGEREF _Toc232497746 \h </w:instrText>
            </w:r>
            <w:r>
              <w:rPr>
                <w:noProof/>
                <w:webHidden/>
              </w:rPr>
            </w:r>
            <w:r>
              <w:rPr>
                <w:noProof/>
                <w:webHidden/>
              </w:rPr>
              <w:fldChar w:fldCharType="separate"/>
            </w:r>
            <w:r>
              <w:rPr>
                <w:noProof/>
                <w:webHidden/>
              </w:rPr>
              <w:t>21</w:t>
            </w:r>
            <w:r>
              <w:rPr>
                <w:noProof/>
                <w:webHidden/>
              </w:rPr>
              <w:fldChar w:fldCharType="end"/>
            </w:r>
          </w:hyperlink>
        </w:p>
        <w:p w14:paraId="05ADD49C" w14:textId="6D83314F"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47" w:history="1">
            <w:r w:rsidRPr="00805D01">
              <w:rPr>
                <w:rStyle w:val="Hyperlink"/>
                <w:noProof/>
              </w:rPr>
              <w:t>1. Platform Overview</w:t>
            </w:r>
            <w:r>
              <w:rPr>
                <w:noProof/>
                <w:webHidden/>
              </w:rPr>
              <w:tab/>
            </w:r>
            <w:r>
              <w:rPr>
                <w:noProof/>
                <w:webHidden/>
              </w:rPr>
              <w:fldChar w:fldCharType="begin"/>
            </w:r>
            <w:r>
              <w:rPr>
                <w:noProof/>
                <w:webHidden/>
              </w:rPr>
              <w:instrText xml:space="preserve"> PAGEREF _Toc232497747 \h </w:instrText>
            </w:r>
            <w:r>
              <w:rPr>
                <w:noProof/>
                <w:webHidden/>
              </w:rPr>
            </w:r>
            <w:r>
              <w:rPr>
                <w:noProof/>
                <w:webHidden/>
              </w:rPr>
              <w:fldChar w:fldCharType="separate"/>
            </w:r>
            <w:r>
              <w:rPr>
                <w:noProof/>
                <w:webHidden/>
              </w:rPr>
              <w:t>21</w:t>
            </w:r>
            <w:r>
              <w:rPr>
                <w:noProof/>
                <w:webHidden/>
              </w:rPr>
              <w:fldChar w:fldCharType="end"/>
            </w:r>
          </w:hyperlink>
        </w:p>
        <w:p w14:paraId="78C206C3" w14:textId="04C0D95D"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48" w:history="1">
            <w:r w:rsidRPr="00805D01">
              <w:rPr>
                <w:rStyle w:val="Hyperlink"/>
                <w:noProof/>
              </w:rPr>
              <w:t>2. Core Platform Capabilities</w:t>
            </w:r>
            <w:r>
              <w:rPr>
                <w:noProof/>
                <w:webHidden/>
              </w:rPr>
              <w:tab/>
            </w:r>
            <w:r>
              <w:rPr>
                <w:noProof/>
                <w:webHidden/>
              </w:rPr>
              <w:fldChar w:fldCharType="begin"/>
            </w:r>
            <w:r>
              <w:rPr>
                <w:noProof/>
                <w:webHidden/>
              </w:rPr>
              <w:instrText xml:space="preserve"> PAGEREF _Toc232497748 \h </w:instrText>
            </w:r>
            <w:r>
              <w:rPr>
                <w:noProof/>
                <w:webHidden/>
              </w:rPr>
            </w:r>
            <w:r>
              <w:rPr>
                <w:noProof/>
                <w:webHidden/>
              </w:rPr>
              <w:fldChar w:fldCharType="separate"/>
            </w:r>
            <w:r>
              <w:rPr>
                <w:noProof/>
                <w:webHidden/>
              </w:rPr>
              <w:t>21</w:t>
            </w:r>
            <w:r>
              <w:rPr>
                <w:noProof/>
                <w:webHidden/>
              </w:rPr>
              <w:fldChar w:fldCharType="end"/>
            </w:r>
          </w:hyperlink>
        </w:p>
        <w:p w14:paraId="468A597B" w14:textId="6C308184"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49" w:history="1">
            <w:r w:rsidRPr="00805D01">
              <w:rPr>
                <w:rStyle w:val="Hyperlink"/>
                <w:noProof/>
              </w:rPr>
              <w:t>3. Platform Components and Architecture</w:t>
            </w:r>
            <w:r>
              <w:rPr>
                <w:noProof/>
                <w:webHidden/>
              </w:rPr>
              <w:tab/>
            </w:r>
            <w:r>
              <w:rPr>
                <w:noProof/>
                <w:webHidden/>
              </w:rPr>
              <w:fldChar w:fldCharType="begin"/>
            </w:r>
            <w:r>
              <w:rPr>
                <w:noProof/>
                <w:webHidden/>
              </w:rPr>
              <w:instrText xml:space="preserve"> PAGEREF _Toc232497749 \h </w:instrText>
            </w:r>
            <w:r>
              <w:rPr>
                <w:noProof/>
                <w:webHidden/>
              </w:rPr>
            </w:r>
            <w:r>
              <w:rPr>
                <w:noProof/>
                <w:webHidden/>
              </w:rPr>
              <w:fldChar w:fldCharType="separate"/>
            </w:r>
            <w:r>
              <w:rPr>
                <w:noProof/>
                <w:webHidden/>
              </w:rPr>
              <w:t>22</w:t>
            </w:r>
            <w:r>
              <w:rPr>
                <w:noProof/>
                <w:webHidden/>
              </w:rPr>
              <w:fldChar w:fldCharType="end"/>
            </w:r>
          </w:hyperlink>
        </w:p>
        <w:p w14:paraId="44979A13" w14:textId="51DB99D9"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50" w:history="1">
            <w:r w:rsidRPr="00805D01">
              <w:rPr>
                <w:rStyle w:val="Hyperlink"/>
                <w:noProof/>
              </w:rPr>
              <w:t>4. Supported Deployment Models</w:t>
            </w:r>
            <w:r>
              <w:rPr>
                <w:noProof/>
                <w:webHidden/>
              </w:rPr>
              <w:tab/>
            </w:r>
            <w:r>
              <w:rPr>
                <w:noProof/>
                <w:webHidden/>
              </w:rPr>
              <w:fldChar w:fldCharType="begin"/>
            </w:r>
            <w:r>
              <w:rPr>
                <w:noProof/>
                <w:webHidden/>
              </w:rPr>
              <w:instrText xml:space="preserve"> PAGEREF _Toc232497750 \h </w:instrText>
            </w:r>
            <w:r>
              <w:rPr>
                <w:noProof/>
                <w:webHidden/>
              </w:rPr>
            </w:r>
            <w:r>
              <w:rPr>
                <w:noProof/>
                <w:webHidden/>
              </w:rPr>
              <w:fldChar w:fldCharType="separate"/>
            </w:r>
            <w:r>
              <w:rPr>
                <w:noProof/>
                <w:webHidden/>
              </w:rPr>
              <w:t>22</w:t>
            </w:r>
            <w:r>
              <w:rPr>
                <w:noProof/>
                <w:webHidden/>
              </w:rPr>
              <w:fldChar w:fldCharType="end"/>
            </w:r>
          </w:hyperlink>
        </w:p>
        <w:p w14:paraId="06FEB54E" w14:textId="464B98BF"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51" w:history="1">
            <w:r w:rsidRPr="00805D01">
              <w:rPr>
                <w:rStyle w:val="Hyperlink"/>
                <w:noProof/>
              </w:rPr>
              <w:t>5. Licensing and Included Platform Components</w:t>
            </w:r>
            <w:r>
              <w:rPr>
                <w:noProof/>
                <w:webHidden/>
              </w:rPr>
              <w:tab/>
            </w:r>
            <w:r>
              <w:rPr>
                <w:noProof/>
                <w:webHidden/>
              </w:rPr>
              <w:fldChar w:fldCharType="begin"/>
            </w:r>
            <w:r>
              <w:rPr>
                <w:noProof/>
                <w:webHidden/>
              </w:rPr>
              <w:instrText xml:space="preserve"> PAGEREF _Toc232497751 \h </w:instrText>
            </w:r>
            <w:r>
              <w:rPr>
                <w:noProof/>
                <w:webHidden/>
              </w:rPr>
            </w:r>
            <w:r>
              <w:rPr>
                <w:noProof/>
                <w:webHidden/>
              </w:rPr>
              <w:fldChar w:fldCharType="separate"/>
            </w:r>
            <w:r>
              <w:rPr>
                <w:noProof/>
                <w:webHidden/>
              </w:rPr>
              <w:t>22</w:t>
            </w:r>
            <w:r>
              <w:rPr>
                <w:noProof/>
                <w:webHidden/>
              </w:rPr>
              <w:fldChar w:fldCharType="end"/>
            </w:r>
          </w:hyperlink>
        </w:p>
        <w:p w14:paraId="747E221D" w14:textId="0A2D4A0E"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52" w:history="1">
            <w:r w:rsidRPr="00805D01">
              <w:rPr>
                <w:rStyle w:val="Hyperlink"/>
                <w:noProof/>
              </w:rPr>
              <w:t>6. Data Collection, Storage, and Retention</w:t>
            </w:r>
            <w:r>
              <w:rPr>
                <w:noProof/>
                <w:webHidden/>
              </w:rPr>
              <w:tab/>
            </w:r>
            <w:r>
              <w:rPr>
                <w:noProof/>
                <w:webHidden/>
              </w:rPr>
              <w:fldChar w:fldCharType="begin"/>
            </w:r>
            <w:r>
              <w:rPr>
                <w:noProof/>
                <w:webHidden/>
              </w:rPr>
              <w:instrText xml:space="preserve"> PAGEREF _Toc232497752 \h </w:instrText>
            </w:r>
            <w:r>
              <w:rPr>
                <w:noProof/>
                <w:webHidden/>
              </w:rPr>
            </w:r>
            <w:r>
              <w:rPr>
                <w:noProof/>
                <w:webHidden/>
              </w:rPr>
              <w:fldChar w:fldCharType="separate"/>
            </w:r>
            <w:r>
              <w:rPr>
                <w:noProof/>
                <w:webHidden/>
              </w:rPr>
              <w:t>23</w:t>
            </w:r>
            <w:r>
              <w:rPr>
                <w:noProof/>
                <w:webHidden/>
              </w:rPr>
              <w:fldChar w:fldCharType="end"/>
            </w:r>
          </w:hyperlink>
        </w:p>
        <w:p w14:paraId="25EF95E4" w14:textId="467CCAA8"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53" w:history="1">
            <w:r w:rsidRPr="00805D01">
              <w:rPr>
                <w:rStyle w:val="Hyperlink"/>
                <w:noProof/>
              </w:rPr>
              <w:t>7. Integrations and Ecosystem</w:t>
            </w:r>
            <w:r>
              <w:rPr>
                <w:noProof/>
                <w:webHidden/>
              </w:rPr>
              <w:tab/>
            </w:r>
            <w:r>
              <w:rPr>
                <w:noProof/>
                <w:webHidden/>
              </w:rPr>
              <w:fldChar w:fldCharType="begin"/>
            </w:r>
            <w:r>
              <w:rPr>
                <w:noProof/>
                <w:webHidden/>
              </w:rPr>
              <w:instrText xml:space="preserve"> PAGEREF _Toc232497753 \h </w:instrText>
            </w:r>
            <w:r>
              <w:rPr>
                <w:noProof/>
                <w:webHidden/>
              </w:rPr>
            </w:r>
            <w:r>
              <w:rPr>
                <w:noProof/>
                <w:webHidden/>
              </w:rPr>
              <w:fldChar w:fldCharType="separate"/>
            </w:r>
            <w:r>
              <w:rPr>
                <w:noProof/>
                <w:webHidden/>
              </w:rPr>
              <w:t>23</w:t>
            </w:r>
            <w:r>
              <w:rPr>
                <w:noProof/>
                <w:webHidden/>
              </w:rPr>
              <w:fldChar w:fldCharType="end"/>
            </w:r>
          </w:hyperlink>
        </w:p>
        <w:p w14:paraId="7356201F" w14:textId="49A91F95"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54" w:history="1">
            <w:r w:rsidRPr="00805D01">
              <w:rPr>
                <w:rStyle w:val="Hyperlink"/>
                <w:noProof/>
              </w:rPr>
              <w:t>8. Security, Privacy, and Data Handling</w:t>
            </w:r>
            <w:r>
              <w:rPr>
                <w:noProof/>
                <w:webHidden/>
              </w:rPr>
              <w:tab/>
            </w:r>
            <w:r>
              <w:rPr>
                <w:noProof/>
                <w:webHidden/>
              </w:rPr>
              <w:fldChar w:fldCharType="begin"/>
            </w:r>
            <w:r>
              <w:rPr>
                <w:noProof/>
                <w:webHidden/>
              </w:rPr>
              <w:instrText xml:space="preserve"> PAGEREF _Toc232497754 \h </w:instrText>
            </w:r>
            <w:r>
              <w:rPr>
                <w:noProof/>
                <w:webHidden/>
              </w:rPr>
            </w:r>
            <w:r>
              <w:rPr>
                <w:noProof/>
                <w:webHidden/>
              </w:rPr>
              <w:fldChar w:fldCharType="separate"/>
            </w:r>
            <w:r>
              <w:rPr>
                <w:noProof/>
                <w:webHidden/>
              </w:rPr>
              <w:t>24</w:t>
            </w:r>
            <w:r>
              <w:rPr>
                <w:noProof/>
                <w:webHidden/>
              </w:rPr>
              <w:fldChar w:fldCharType="end"/>
            </w:r>
          </w:hyperlink>
        </w:p>
        <w:p w14:paraId="4A1B2C5D" w14:textId="043C55C9"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55" w:history="1">
            <w:r w:rsidRPr="00805D01">
              <w:rPr>
                <w:rStyle w:val="Hyperlink"/>
                <w:noProof/>
              </w:rPr>
              <w:t>9. Support, Maintenance, and Platform Operations</w:t>
            </w:r>
            <w:r>
              <w:rPr>
                <w:noProof/>
                <w:webHidden/>
              </w:rPr>
              <w:tab/>
            </w:r>
            <w:r>
              <w:rPr>
                <w:noProof/>
                <w:webHidden/>
              </w:rPr>
              <w:fldChar w:fldCharType="begin"/>
            </w:r>
            <w:r>
              <w:rPr>
                <w:noProof/>
                <w:webHidden/>
              </w:rPr>
              <w:instrText xml:space="preserve"> PAGEREF _Toc232497755 \h </w:instrText>
            </w:r>
            <w:r>
              <w:rPr>
                <w:noProof/>
                <w:webHidden/>
              </w:rPr>
            </w:r>
            <w:r>
              <w:rPr>
                <w:noProof/>
                <w:webHidden/>
              </w:rPr>
              <w:fldChar w:fldCharType="separate"/>
            </w:r>
            <w:r>
              <w:rPr>
                <w:noProof/>
                <w:webHidden/>
              </w:rPr>
              <w:t>24</w:t>
            </w:r>
            <w:r>
              <w:rPr>
                <w:noProof/>
                <w:webHidden/>
              </w:rPr>
              <w:fldChar w:fldCharType="end"/>
            </w:r>
          </w:hyperlink>
        </w:p>
        <w:p w14:paraId="0F81C33B" w14:textId="1C6772EB"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56" w:history="1">
            <w:r w:rsidRPr="00805D01">
              <w:rPr>
                <w:rStyle w:val="Hyperlink"/>
                <w:noProof/>
              </w:rPr>
              <w:t>10. Assumptions, Exclusions, and Limitations</w:t>
            </w:r>
            <w:r>
              <w:rPr>
                <w:noProof/>
                <w:webHidden/>
              </w:rPr>
              <w:tab/>
            </w:r>
            <w:r>
              <w:rPr>
                <w:noProof/>
                <w:webHidden/>
              </w:rPr>
              <w:fldChar w:fldCharType="begin"/>
            </w:r>
            <w:r>
              <w:rPr>
                <w:noProof/>
                <w:webHidden/>
              </w:rPr>
              <w:instrText xml:space="preserve"> PAGEREF _Toc232497756 \h </w:instrText>
            </w:r>
            <w:r>
              <w:rPr>
                <w:noProof/>
                <w:webHidden/>
              </w:rPr>
            </w:r>
            <w:r>
              <w:rPr>
                <w:noProof/>
                <w:webHidden/>
              </w:rPr>
              <w:fldChar w:fldCharType="separate"/>
            </w:r>
            <w:r>
              <w:rPr>
                <w:noProof/>
                <w:webHidden/>
              </w:rPr>
              <w:t>24</w:t>
            </w:r>
            <w:r>
              <w:rPr>
                <w:noProof/>
                <w:webHidden/>
              </w:rPr>
              <w:fldChar w:fldCharType="end"/>
            </w:r>
          </w:hyperlink>
        </w:p>
        <w:p w14:paraId="002B60F1" w14:textId="52DC18B1" w:rsidR="00D6609D" w:rsidRDefault="00D6609D">
          <w:pPr>
            <w:pStyle w:val="TOC2"/>
            <w:tabs>
              <w:tab w:val="right" w:leader="dot" w:pos="9350"/>
            </w:tabs>
            <w:rPr>
              <w:rFonts w:eastAsiaTheme="minorEastAsia" w:cstheme="minorBidi"/>
              <w:b w:val="0"/>
              <w:bCs w:val="0"/>
              <w:noProof/>
              <w:color w:val="auto"/>
              <w:sz w:val="24"/>
              <w:szCs w:val="24"/>
              <w:lang w:val="en-US" w:eastAsia="en-US"/>
            </w:rPr>
          </w:pPr>
          <w:hyperlink w:anchor="_Toc232497757" w:history="1">
            <w:r w:rsidRPr="00805D01">
              <w:rPr>
                <w:rStyle w:val="Hyperlink"/>
                <w:noProof/>
              </w:rPr>
              <w:t>11. Related Documents and Commercial References</w:t>
            </w:r>
            <w:r>
              <w:rPr>
                <w:noProof/>
                <w:webHidden/>
              </w:rPr>
              <w:tab/>
            </w:r>
            <w:r>
              <w:rPr>
                <w:noProof/>
                <w:webHidden/>
              </w:rPr>
              <w:fldChar w:fldCharType="begin"/>
            </w:r>
            <w:r>
              <w:rPr>
                <w:noProof/>
                <w:webHidden/>
              </w:rPr>
              <w:instrText xml:space="preserve"> PAGEREF _Toc232497757 \h </w:instrText>
            </w:r>
            <w:r>
              <w:rPr>
                <w:noProof/>
                <w:webHidden/>
              </w:rPr>
            </w:r>
            <w:r>
              <w:rPr>
                <w:noProof/>
                <w:webHidden/>
              </w:rPr>
              <w:fldChar w:fldCharType="separate"/>
            </w:r>
            <w:r>
              <w:rPr>
                <w:noProof/>
                <w:webHidden/>
              </w:rPr>
              <w:t>24</w:t>
            </w:r>
            <w:r>
              <w:rPr>
                <w:noProof/>
                <w:webHidden/>
              </w:rPr>
              <w:fldChar w:fldCharType="end"/>
            </w:r>
          </w:hyperlink>
        </w:p>
        <w:p w14:paraId="1399EA0D" w14:textId="60AC2AB8" w:rsidR="00D6609D" w:rsidRDefault="00D6609D">
          <w:r>
            <w:rPr>
              <w:b/>
              <w:bCs/>
              <w:noProof/>
            </w:rPr>
            <w:fldChar w:fldCharType="end"/>
          </w:r>
        </w:p>
      </w:sdtContent>
    </w:sdt>
    <w:p w14:paraId="22C1A82E" w14:textId="58D83422" w:rsidR="00C23767" w:rsidRPr="00E66AB8" w:rsidRDefault="005A7438" w:rsidP="00113465">
      <w:pPr>
        <w:pStyle w:val="Heading1"/>
        <w:ind w:left="0" w:firstLine="0"/>
        <w:rPr>
          <w:rFonts w:asciiTheme="minorHAnsi" w:hAnsiTheme="minorHAnsi"/>
        </w:rPr>
      </w:pPr>
      <w:bookmarkStart w:id="1" w:name="_Toc232497703"/>
      <w:r w:rsidRPr="00E66AB8">
        <w:rPr>
          <w:rFonts w:asciiTheme="minorHAnsi" w:hAnsiTheme="minorHAnsi"/>
        </w:rPr>
        <w:t>Introduction</w:t>
      </w:r>
      <w:bookmarkEnd w:id="0"/>
      <w:bookmarkEnd w:id="1"/>
      <w:r w:rsidRPr="00E66AB8">
        <w:rPr>
          <w:rFonts w:asciiTheme="minorHAnsi" w:hAnsiTheme="minorHAnsi"/>
          <w:color w:val="000000"/>
        </w:rPr>
        <w:t xml:space="preserve"> </w:t>
      </w:r>
    </w:p>
    <w:p w14:paraId="5D5DE886" w14:textId="77777777" w:rsidR="003777D4" w:rsidRDefault="003777D4">
      <w:pPr>
        <w:spacing w:after="280"/>
        <w:ind w:left="18" w:right="25"/>
        <w:rPr>
          <w:kern w:val="0"/>
          <w:szCs w:val="20"/>
          <w14:ligatures w14:val="none"/>
        </w:rPr>
      </w:pPr>
      <w:bookmarkStart w:id="2" w:name="_Toc232428833"/>
      <w:r>
        <w:rPr>
          <w:rFonts w:ascii="Aptos" w:hAnsi="Aptos"/>
        </w:rPr>
        <w:t xml:space="preserve">PacketWatch will perform the Professional Services ("PacketWatch Professional Services") and related services (collectively, the "Services") described in this Service Description ("Service Description"). The Services are provided in conjunction with the licensing of </w:t>
      </w:r>
      <w:proofErr w:type="spellStart"/>
      <w:r>
        <w:rPr>
          <w:rFonts w:ascii="Aptos" w:hAnsi="Aptos"/>
        </w:rPr>
        <w:t>WireSight</w:t>
      </w:r>
      <w:proofErr w:type="spellEnd"/>
      <w:r>
        <w:rPr>
          <w:rFonts w:ascii="Aptos" w:hAnsi="Aptos"/>
        </w:rPr>
        <w:t xml:space="preserve"> and/or third-party endpoint detection and response (EDR) products licensed through PacketWatch, such as CrowdStrike, as identified in the applicable Order. The applicable Order will identify the Services and service options purchased. The </w:t>
      </w:r>
      <w:proofErr w:type="spellStart"/>
      <w:r>
        <w:rPr>
          <w:rFonts w:ascii="Aptos" w:hAnsi="Aptos"/>
        </w:rPr>
        <w:t>WireSight</w:t>
      </w:r>
      <w:proofErr w:type="spellEnd"/>
      <w:r>
        <w:rPr>
          <w:rFonts w:ascii="Aptos" w:hAnsi="Aptos"/>
        </w:rPr>
        <w:t xml:space="preserve"> Platform Description is attached to this document as Exhibit D and describes the licensed </w:t>
      </w:r>
      <w:proofErr w:type="spellStart"/>
      <w:r>
        <w:rPr>
          <w:rFonts w:ascii="Aptos" w:hAnsi="Aptos"/>
        </w:rPr>
        <w:t>WireSight</w:t>
      </w:r>
      <w:proofErr w:type="spellEnd"/>
      <w:r>
        <w:rPr>
          <w:rFonts w:ascii="Aptos" w:hAnsi="Aptos"/>
        </w:rPr>
        <w:t xml:space="preserve"> platform, including its capabilities, deployment models, user access, storage model, optional modules such as </w:t>
      </w:r>
      <w:proofErr w:type="spellStart"/>
      <w:r>
        <w:rPr>
          <w:rFonts w:ascii="Aptos" w:hAnsi="Aptos"/>
        </w:rPr>
        <w:t>Irix</w:t>
      </w:r>
      <w:proofErr w:type="spellEnd"/>
      <w:r>
        <w:rPr>
          <w:rFonts w:ascii="Aptos" w:hAnsi="Aptos"/>
        </w:rPr>
        <w:t>, and related assumptions and limitations. This Service Description supplements the governing agreement between Client and PacketWatch for the applicable Services. For additional assistance or to request a copy of your service contract documents, contact your sales representative.</w:t>
      </w:r>
    </w:p>
    <w:p w14:paraId="5955122B" w14:textId="77777777" w:rsidR="00F82EBC" w:rsidRDefault="00F82EBC" w:rsidP="00113465">
      <w:pPr>
        <w:pStyle w:val="Heading1"/>
        <w:ind w:left="90"/>
        <w:rPr>
          <w:kern w:val="36"/>
          <w:szCs w:val="28"/>
          <w14:ligatures w14:val="none"/>
        </w:rPr>
      </w:pPr>
      <w:bookmarkStart w:id="3" w:name="_Toc232497704"/>
      <w:r>
        <w:t>Services Terms &amp; Conditions</w:t>
      </w:r>
      <w:bookmarkEnd w:id="2"/>
      <w:bookmarkEnd w:id="3"/>
    </w:p>
    <w:p w14:paraId="5EEEE873" w14:textId="77777777" w:rsidR="00F82EBC" w:rsidRDefault="00F82EBC" w:rsidP="00113465">
      <w:pPr>
        <w:spacing w:after="177"/>
        <w:ind w:left="90" w:right="25"/>
        <w:rPr>
          <w:kern w:val="0"/>
          <w:szCs w:val="20"/>
          <w14:ligatures w14:val="none"/>
        </w:rPr>
      </w:pPr>
      <w:r>
        <w:rPr>
          <w:rFonts w:ascii="Aptos" w:hAnsi="Aptos"/>
        </w:rPr>
        <w:t xml:space="preserve">This Service Description is entered into between the Client ("Client" or "you") and the PacketWatch legal entity identified on the applicable Order (the "PacketWatch Legal Entity"). The Services are provided subject to and governed by the governing agreement between Client and PacketWatch for the applicable Order, including any executed master services agreement ("MSA") and, if no separate MSA applies, the PacketWatch General Terms and Conditions in effect for the applicable Order. This Service Description supplements, and is incorporated </w:t>
      </w:r>
      <w:proofErr w:type="gramStart"/>
      <w:r>
        <w:rPr>
          <w:rFonts w:ascii="Aptos" w:hAnsi="Aptos"/>
        </w:rPr>
        <w:t>into,</w:t>
      </w:r>
      <w:proofErr w:type="gramEnd"/>
      <w:r>
        <w:rPr>
          <w:rFonts w:ascii="Aptos" w:hAnsi="Aptos"/>
        </w:rPr>
        <w:t xml:space="preserve"> that governing agreement.</w:t>
      </w:r>
    </w:p>
    <w:p w14:paraId="42F18B35" w14:textId="77777777" w:rsidR="00F82EBC" w:rsidRDefault="00F82EBC" w:rsidP="00113465">
      <w:pPr>
        <w:spacing w:after="175"/>
        <w:ind w:left="90" w:right="25"/>
        <w:rPr>
          <w:kern w:val="0"/>
          <w:szCs w:val="20"/>
          <w14:ligatures w14:val="none"/>
        </w:rPr>
      </w:pPr>
      <w:r>
        <w:rPr>
          <w:rFonts w:ascii="Aptos" w:hAnsi="Aptos"/>
        </w:rPr>
        <w:t>Capitalized terms used but not defined in this Service Description have the meanings given in the governing agreement. Data security, privacy, and Client Data handling terms are governed by the governing agreement, including any applicable Data Security and Privacy Schedule, Privacy Policy, Data Protection Addendum, or similar data protection terms incorporated into or applicable under the governing agreement.</w:t>
      </w:r>
    </w:p>
    <w:p w14:paraId="341892D3" w14:textId="77777777" w:rsidR="00243B9A" w:rsidRDefault="00243B9A">
      <w:pPr>
        <w:spacing w:after="178"/>
        <w:ind w:left="90" w:right="25"/>
        <w:rPr>
          <w:kern w:val="0"/>
          <w:szCs w:val="20"/>
          <w14:ligatures w14:val="none"/>
        </w:rPr>
      </w:pPr>
      <w:r>
        <w:rPr>
          <w:rFonts w:ascii="Aptos" w:hAnsi="Aptos"/>
        </w:rPr>
        <w:t xml:space="preserve">If there is a conflict between this Service Description and the governing agreement, the governing agreement controls unless the applicable Order or this Service Description expressly states that a specific provision is intended to supersede the governing agreement for the applicable Services. If there is a conflict between this Service Description and an applicable Order, the Order </w:t>
      </w:r>
      <w:proofErr w:type="gramStart"/>
      <w:r>
        <w:rPr>
          <w:rFonts w:ascii="Aptos" w:hAnsi="Aptos"/>
        </w:rPr>
        <w:t>controls for</w:t>
      </w:r>
      <w:proofErr w:type="gramEnd"/>
      <w:r>
        <w:rPr>
          <w:rFonts w:ascii="Aptos" w:hAnsi="Aptos"/>
        </w:rPr>
        <w:t xml:space="preserve"> transaction-specific commercial terms and other terms expressly stated in the Order for the applicable Services.</w:t>
      </w:r>
    </w:p>
    <w:p w14:paraId="30BE7B64" w14:textId="77777777" w:rsidR="00F82EBC" w:rsidRDefault="00F82EBC" w:rsidP="00113465">
      <w:pPr>
        <w:spacing w:after="242" w:line="256" w:lineRule="auto"/>
        <w:ind w:left="90" w:firstLine="0"/>
        <w:jc w:val="left"/>
        <w:rPr>
          <w:kern w:val="0"/>
          <w:szCs w:val="20"/>
          <w14:ligatures w14:val="none"/>
        </w:rPr>
      </w:pPr>
      <w:r>
        <w:rPr>
          <w:rFonts w:ascii="Aptos" w:hAnsi="Aptos"/>
        </w:rPr>
        <w:t>By placing an Order for the Services, receiving delivery of the Services, or using the Services or associated software, Client agrees to be bound by this Service Description and the governing agreement. The individual accepting these terms on behalf of a company or other legal entity represents and warrants that he or she has full authority to bind that entity. Clients in certain jurisdictions may also be required to execute an Order or other written acknowledgment of these terms.</w:t>
      </w:r>
    </w:p>
    <w:p w14:paraId="777D8496" w14:textId="77777777" w:rsidR="00C23767" w:rsidRPr="00E66AB8" w:rsidRDefault="005A7438" w:rsidP="00113465">
      <w:pPr>
        <w:pStyle w:val="Heading1"/>
        <w:ind w:left="90"/>
        <w:rPr>
          <w:rFonts w:asciiTheme="minorHAnsi" w:hAnsiTheme="minorHAnsi"/>
        </w:rPr>
      </w:pPr>
      <w:bookmarkStart w:id="4" w:name="_Toc232428834"/>
      <w:bookmarkStart w:id="5" w:name="_Toc232497705"/>
      <w:r w:rsidRPr="00E66AB8">
        <w:rPr>
          <w:rFonts w:asciiTheme="minorHAnsi" w:hAnsiTheme="minorHAnsi"/>
        </w:rPr>
        <w:t>PacketWatch Professional Services Overview</w:t>
      </w:r>
      <w:bookmarkEnd w:id="4"/>
      <w:bookmarkEnd w:id="5"/>
      <w:r w:rsidRPr="00E66AB8">
        <w:rPr>
          <w:rFonts w:asciiTheme="minorHAnsi" w:hAnsiTheme="minorHAnsi"/>
          <w:color w:val="000000"/>
        </w:rPr>
        <w:t xml:space="preserve"> </w:t>
      </w:r>
    </w:p>
    <w:p w14:paraId="3EDB196F" w14:textId="77777777" w:rsidR="00346779" w:rsidRDefault="00346779" w:rsidP="00113465">
      <w:pPr>
        <w:spacing w:after="60" w:line="256" w:lineRule="auto"/>
        <w:ind w:left="90" w:right="25"/>
        <w:rPr>
          <w:kern w:val="0"/>
          <w:szCs w:val="20"/>
          <w14:ligatures w14:val="none"/>
        </w:rPr>
      </w:pPr>
      <w:r>
        <w:rPr>
          <w:rFonts w:ascii="Aptos" w:hAnsi="Aptos"/>
        </w:rPr>
        <w:t>The key components of PacketWatch Professional Services include:</w:t>
      </w:r>
    </w:p>
    <w:p w14:paraId="3D359C9A" w14:textId="77777777" w:rsidR="00383A19" w:rsidRPr="00383A19" w:rsidRDefault="00383A19" w:rsidP="00113465">
      <w:pPr>
        <w:pStyle w:val="ListParagraph"/>
        <w:numPr>
          <w:ilvl w:val="0"/>
          <w:numId w:val="1"/>
        </w:numPr>
        <w:ind w:left="90"/>
        <w:rPr>
          <w:kern w:val="0"/>
          <w:szCs w:val="20"/>
          <w14:ligatures w14:val="none"/>
        </w:rPr>
      </w:pPr>
      <w:r w:rsidRPr="00383A19">
        <w:rPr>
          <w:rFonts w:ascii="Aptos" w:hAnsi="Aptos"/>
        </w:rPr>
        <w:t>Onboarding</w:t>
      </w:r>
    </w:p>
    <w:p w14:paraId="3BCA9D72" w14:textId="14836B62" w:rsidR="00243B9A" w:rsidRDefault="00243B9A" w:rsidP="00CA7362">
      <w:pPr>
        <w:pStyle w:val="ListParagraph"/>
        <w:numPr>
          <w:ilvl w:val="0"/>
          <w:numId w:val="1"/>
        </w:numPr>
        <w:ind w:left="90"/>
        <w:rPr>
          <w:kern w:val="0"/>
          <w:szCs w:val="20"/>
          <w14:ligatures w14:val="none"/>
        </w:rPr>
      </w:pPr>
      <w:r>
        <w:rPr>
          <w:rFonts w:ascii="Aptos" w:hAnsi="Aptos"/>
        </w:rPr>
        <w:t xml:space="preserve">Threat Hunting </w:t>
      </w:r>
    </w:p>
    <w:p w14:paraId="5295921B" w14:textId="77777777" w:rsidR="00383A19" w:rsidRDefault="00383A19" w:rsidP="00113465">
      <w:pPr>
        <w:pStyle w:val="ListParagraph"/>
        <w:numPr>
          <w:ilvl w:val="0"/>
          <w:numId w:val="1"/>
        </w:numPr>
        <w:ind w:left="90"/>
      </w:pPr>
      <w:r>
        <w:rPr>
          <w:rFonts w:ascii="Aptos" w:hAnsi="Aptos"/>
        </w:rPr>
        <w:t>Signals, Alerts, and Investigations</w:t>
      </w:r>
    </w:p>
    <w:p w14:paraId="4F12FB30" w14:textId="77777777" w:rsidR="00383A19" w:rsidRDefault="00383A19" w:rsidP="00113465">
      <w:pPr>
        <w:pStyle w:val="ListParagraph"/>
        <w:numPr>
          <w:ilvl w:val="0"/>
          <w:numId w:val="1"/>
        </w:numPr>
        <w:ind w:left="90"/>
      </w:pPr>
      <w:r>
        <w:rPr>
          <w:rFonts w:ascii="Aptos" w:hAnsi="Aptos"/>
        </w:rPr>
        <w:t>Incident Response</w:t>
      </w:r>
    </w:p>
    <w:p w14:paraId="263B3110" w14:textId="77777777" w:rsidR="00383A19" w:rsidRDefault="00383A19" w:rsidP="00113465">
      <w:pPr>
        <w:pStyle w:val="ListParagraph"/>
        <w:numPr>
          <w:ilvl w:val="0"/>
          <w:numId w:val="1"/>
        </w:numPr>
        <w:ind w:left="90"/>
      </w:pPr>
      <w:r>
        <w:rPr>
          <w:rFonts w:ascii="Aptos" w:hAnsi="Aptos"/>
        </w:rPr>
        <w:t>Bi-Weekly Technical Reviews</w:t>
      </w:r>
    </w:p>
    <w:p w14:paraId="47D5F75F" w14:textId="77777777" w:rsidR="00383A19" w:rsidRDefault="00383A19" w:rsidP="00113465">
      <w:pPr>
        <w:pStyle w:val="ListParagraph"/>
        <w:numPr>
          <w:ilvl w:val="0"/>
          <w:numId w:val="1"/>
        </w:numPr>
        <w:ind w:left="90"/>
      </w:pPr>
      <w:r>
        <w:rPr>
          <w:rFonts w:ascii="Aptos" w:hAnsi="Aptos"/>
        </w:rPr>
        <w:t>Threat Intelligence Briefings</w:t>
      </w:r>
    </w:p>
    <w:p w14:paraId="767FD911" w14:textId="7E32C4C8" w:rsidR="00383A19" w:rsidRPr="00CA7362" w:rsidRDefault="00383A19" w:rsidP="00113465">
      <w:pPr>
        <w:pStyle w:val="ListParagraph"/>
        <w:numPr>
          <w:ilvl w:val="0"/>
          <w:numId w:val="1"/>
        </w:numPr>
        <w:ind w:left="90"/>
      </w:pPr>
      <w:r>
        <w:rPr>
          <w:rFonts w:ascii="Aptos" w:hAnsi="Aptos"/>
        </w:rPr>
        <w:t>Quarterly Executive Reviews</w:t>
      </w:r>
    </w:p>
    <w:p w14:paraId="126A7ACA" w14:textId="77777777" w:rsidR="00CA7362" w:rsidRPr="00CA7362" w:rsidRDefault="00CA7362" w:rsidP="00CA7362">
      <w:pPr>
        <w:pStyle w:val="ListParagraph"/>
        <w:ind w:left="90" w:firstLine="0"/>
      </w:pPr>
    </w:p>
    <w:tbl>
      <w:tblPr>
        <w:tblW w:w="9351" w:type="dxa"/>
        <w:tblInd w:w="-88"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4207"/>
        <w:gridCol w:w="344"/>
        <w:gridCol w:w="4800"/>
      </w:tblGrid>
      <w:tr w:rsidR="00CA7362" w:rsidRPr="00346779" w14:paraId="5BD88391" w14:textId="77777777" w:rsidTr="00002D1F">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783884FC" w14:textId="77777777" w:rsidR="00CA7362" w:rsidRPr="00CA7362" w:rsidRDefault="00CA7362" w:rsidP="00CA7362">
            <w:pPr>
              <w:pStyle w:val="ListParagraph"/>
              <w:numPr>
                <w:ilvl w:val="0"/>
                <w:numId w:val="1"/>
              </w:numPr>
              <w:spacing w:after="0"/>
              <w:jc w:val="center"/>
              <w:rPr>
                <w:rFonts w:asciiTheme="minorHAnsi" w:hAnsiTheme="minorHAnsi"/>
                <w:kern w:val="0"/>
                <w:szCs w:val="20"/>
                <w14:ligatures w14:val="none"/>
              </w:rPr>
            </w:pPr>
            <w:r w:rsidRPr="00CA7362">
              <w:rPr>
                <w:rFonts w:asciiTheme="minorHAnsi" w:hAnsiTheme="minorHAnsi"/>
                <w:b/>
                <w:bCs/>
                <w:color w:val="FFFFFF"/>
              </w:rPr>
              <w:t>Key Component</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2B52A28C" w14:textId="77777777" w:rsidR="00CA7362" w:rsidRPr="00346779" w:rsidRDefault="00CA7362" w:rsidP="00002D1F">
            <w:pPr>
              <w:spacing w:after="0"/>
              <w:ind w:left="90" w:firstLine="0"/>
              <w:jc w:val="cente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1C329706" w14:textId="77777777" w:rsidR="00CA7362" w:rsidRPr="00346779" w:rsidRDefault="00CA7362" w:rsidP="00002D1F">
            <w:pPr>
              <w:spacing w:after="0"/>
              <w:ind w:left="90" w:firstLine="0"/>
              <w:jc w:val="center"/>
              <w:rPr>
                <w:rFonts w:asciiTheme="minorHAnsi" w:hAnsiTheme="minorHAnsi"/>
              </w:rPr>
            </w:pPr>
            <w:r w:rsidRPr="00346779">
              <w:rPr>
                <w:rFonts w:asciiTheme="minorHAnsi" w:hAnsiTheme="minorHAnsi"/>
                <w:b/>
                <w:bCs/>
                <w:color w:val="FFFFFF"/>
              </w:rPr>
              <w:t>Elements</w:t>
            </w:r>
          </w:p>
        </w:tc>
      </w:tr>
      <w:tr w:rsidR="00CA7362" w:rsidRPr="00346779" w14:paraId="1397F9C0" w14:textId="77777777" w:rsidTr="00002D1F">
        <w:tc>
          <w:tcPr>
            <w:tcW w:w="0" w:type="auto"/>
            <w:tcBorders>
              <w:top w:val="outset" w:sz="6" w:space="0" w:color="auto"/>
              <w:left w:val="outset" w:sz="6" w:space="0" w:color="auto"/>
              <w:bottom w:val="outset" w:sz="6" w:space="0" w:color="auto"/>
              <w:right w:val="outset" w:sz="6" w:space="0" w:color="auto"/>
            </w:tcBorders>
            <w:hideMark/>
          </w:tcPr>
          <w:p w14:paraId="1C3C28F8"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Onboarding</w:t>
            </w:r>
          </w:p>
        </w:tc>
        <w:tc>
          <w:tcPr>
            <w:tcW w:w="0" w:type="auto"/>
            <w:tcBorders>
              <w:top w:val="outset" w:sz="6" w:space="0" w:color="auto"/>
              <w:left w:val="outset" w:sz="6" w:space="0" w:color="auto"/>
              <w:bottom w:val="outset" w:sz="6" w:space="0" w:color="auto"/>
              <w:right w:val="outset" w:sz="6" w:space="0" w:color="auto"/>
            </w:tcBorders>
            <w:hideMark/>
          </w:tcPr>
          <w:p w14:paraId="4AFC7D06" w14:textId="77777777" w:rsidR="00CA7362" w:rsidRPr="00346779" w:rsidRDefault="00CA7362" w:rsidP="00002D1F">
            <w:pPr>
              <w:spacing w:after="0"/>
              <w:ind w:left="90" w:firstLine="0"/>
              <w:jc w:val="center"/>
              <w:rPr>
                <w:rFonts w:asciiTheme="minorHAnsi" w:hAnsiTheme="minorHAnsi"/>
              </w:rPr>
            </w:pPr>
            <w:r w:rsidRPr="00346779">
              <w:rPr>
                <w:rFonts w:asciiTheme="minorHAnsi" w:hAnsiTheme="minorHAnsi"/>
              </w:rPr>
              <w:t>•</w:t>
            </w:r>
            <w:r w:rsidRPr="00346779">
              <w:rPr>
                <w:rFonts w:asciiTheme="minorHAnsi" w:hAnsiTheme="minorHAnsi"/>
              </w:rPr>
              <w:br/>
              <w:t>•</w:t>
            </w:r>
            <w:r w:rsidRPr="00346779">
              <w:rPr>
                <w:rFonts w:asciiTheme="minorHAnsi" w:hAnsiTheme="minorHAnsi"/>
              </w:rPr>
              <w:br/>
              <w:t>•</w:t>
            </w:r>
            <w:r w:rsidRPr="00346779">
              <w:rPr>
                <w:rFonts w:asciiTheme="minorHAnsi" w:hAnsiTheme="minorHAnsi"/>
              </w:rPr>
              <w:br/>
              <w:t>•</w:t>
            </w:r>
            <w:r w:rsidRPr="00346779">
              <w:rPr>
                <w:rFonts w:asciiTheme="minorHAnsi" w:hAnsiTheme="minorHAnsi"/>
              </w:rPr>
              <w:br/>
              <w:t>•</w:t>
            </w:r>
            <w:r w:rsidRPr="00346779">
              <w:rPr>
                <w:rFonts w:asciiTheme="minorHAnsi" w:hAnsiTheme="minorHAnsi"/>
              </w:rPr>
              <w:br/>
              <w:t>•</w:t>
            </w:r>
          </w:p>
        </w:tc>
        <w:tc>
          <w:tcPr>
            <w:tcW w:w="0" w:type="auto"/>
            <w:tcBorders>
              <w:top w:val="outset" w:sz="6" w:space="0" w:color="auto"/>
              <w:left w:val="outset" w:sz="6" w:space="0" w:color="auto"/>
              <w:bottom w:val="outset" w:sz="6" w:space="0" w:color="auto"/>
              <w:right w:val="outset" w:sz="6" w:space="0" w:color="auto"/>
            </w:tcBorders>
            <w:hideMark/>
          </w:tcPr>
          <w:p w14:paraId="53551B3B" w14:textId="77777777" w:rsidR="00CA7362" w:rsidRDefault="00CA7362" w:rsidP="00002D1F">
            <w:pPr>
              <w:spacing w:after="0"/>
              <w:ind w:left="90" w:firstLine="0"/>
            </w:pPr>
            <w:r w:rsidRPr="00346779">
              <w:rPr>
                <w:rFonts w:asciiTheme="minorHAnsi" w:hAnsiTheme="minorHAnsi"/>
              </w:rPr>
              <w:t>Service kick-off meeting</w:t>
            </w:r>
          </w:p>
          <w:p w14:paraId="03028E4A"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Client completed Pre-Engagement Questionnaire</w:t>
            </w:r>
          </w:p>
          <w:p w14:paraId="141956EC" w14:textId="77777777" w:rsidR="00CA7362" w:rsidRDefault="00CA7362" w:rsidP="00002D1F">
            <w:pPr>
              <w:spacing w:after="0"/>
              <w:ind w:left="90" w:firstLine="0"/>
            </w:pPr>
            <w:proofErr w:type="gramStart"/>
            <w:r w:rsidRPr="00346779">
              <w:rPr>
                <w:rFonts w:asciiTheme="minorHAnsi" w:hAnsiTheme="minorHAnsi"/>
              </w:rPr>
              <w:t>Review</w:t>
            </w:r>
            <w:proofErr w:type="gramEnd"/>
            <w:r w:rsidRPr="00346779">
              <w:rPr>
                <w:rFonts w:asciiTheme="minorHAnsi" w:hAnsiTheme="minorHAnsi"/>
              </w:rPr>
              <w:t xml:space="preserve"> Client </w:t>
            </w:r>
            <w:r>
              <w:rPr>
                <w:rFonts w:ascii="Aptos" w:hAnsi="Aptos"/>
              </w:rPr>
              <w:t>Environment</w:t>
            </w:r>
          </w:p>
          <w:p w14:paraId="2B284B65"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PacketWatch and EDR application enablement (where applicable)</w:t>
            </w:r>
          </w:p>
          <w:p w14:paraId="43E119E3"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Agent rollout assistance (where applicable)</w:t>
            </w:r>
          </w:p>
          <w:p w14:paraId="2DAAFC26"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Onboarding assessment (if applicable)</w:t>
            </w:r>
          </w:p>
        </w:tc>
      </w:tr>
      <w:tr w:rsidR="00CA7362" w:rsidRPr="00346779" w14:paraId="3B735340" w14:textId="77777777" w:rsidTr="00002D1F">
        <w:tc>
          <w:tcPr>
            <w:tcW w:w="0" w:type="auto"/>
            <w:tcBorders>
              <w:top w:val="outset" w:sz="6" w:space="0" w:color="auto"/>
              <w:left w:val="outset" w:sz="6" w:space="0" w:color="auto"/>
              <w:bottom w:val="outset" w:sz="6" w:space="0" w:color="auto"/>
              <w:right w:val="outset" w:sz="6" w:space="0" w:color="auto"/>
            </w:tcBorders>
            <w:hideMark/>
          </w:tcPr>
          <w:p w14:paraId="4854FA37" w14:textId="77777777" w:rsidR="00CA7362" w:rsidRPr="00346779" w:rsidRDefault="00CA7362" w:rsidP="00002D1F">
            <w:pPr>
              <w:spacing w:after="0"/>
              <w:ind w:left="90" w:firstLine="0"/>
              <w:rPr>
                <w:rFonts w:asciiTheme="minorHAnsi" w:hAnsiTheme="minorHAnsi"/>
              </w:rPr>
            </w:pPr>
            <w:r>
              <w:rPr>
                <w:rFonts w:asciiTheme="minorHAnsi" w:hAnsiTheme="minorHAnsi"/>
              </w:rPr>
              <w:t xml:space="preserve">Threat Hunting, </w:t>
            </w:r>
            <w:r w:rsidRPr="00346779">
              <w:rPr>
                <w:rFonts w:asciiTheme="minorHAnsi" w:hAnsiTheme="minorHAnsi"/>
              </w:rPr>
              <w:t>Signals, Alerts, and Investigations</w:t>
            </w:r>
          </w:p>
        </w:tc>
        <w:tc>
          <w:tcPr>
            <w:tcW w:w="0" w:type="auto"/>
            <w:tcBorders>
              <w:top w:val="outset" w:sz="6" w:space="0" w:color="auto"/>
              <w:left w:val="outset" w:sz="6" w:space="0" w:color="auto"/>
              <w:bottom w:val="outset" w:sz="6" w:space="0" w:color="auto"/>
              <w:right w:val="outset" w:sz="6" w:space="0" w:color="auto"/>
            </w:tcBorders>
            <w:hideMark/>
          </w:tcPr>
          <w:p w14:paraId="7F0FE40C" w14:textId="77777777" w:rsidR="00CA7362" w:rsidRPr="00346779" w:rsidRDefault="00CA7362" w:rsidP="00002D1F">
            <w:pPr>
              <w:spacing w:after="0"/>
              <w:ind w:left="90" w:firstLine="0"/>
              <w:jc w:val="center"/>
              <w:rPr>
                <w:rFonts w:asciiTheme="minorHAnsi" w:hAnsiTheme="minorHAnsi"/>
              </w:rPr>
            </w:pPr>
            <w:r w:rsidRPr="00346779">
              <w:rPr>
                <w:rFonts w:asciiTheme="minorHAnsi" w:hAnsiTheme="minorHAnsi"/>
              </w:rPr>
              <w:t>•</w:t>
            </w:r>
          </w:p>
        </w:tc>
        <w:tc>
          <w:tcPr>
            <w:tcW w:w="0" w:type="auto"/>
            <w:tcBorders>
              <w:top w:val="outset" w:sz="6" w:space="0" w:color="auto"/>
              <w:left w:val="outset" w:sz="6" w:space="0" w:color="auto"/>
              <w:bottom w:val="outset" w:sz="6" w:space="0" w:color="auto"/>
              <w:right w:val="outset" w:sz="6" w:space="0" w:color="auto"/>
            </w:tcBorders>
            <w:hideMark/>
          </w:tcPr>
          <w:p w14:paraId="1FAC98EC"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Threat hunting, Signal review, Alert prioritization, and Investigations</w:t>
            </w:r>
          </w:p>
        </w:tc>
      </w:tr>
      <w:tr w:rsidR="00CA7362" w:rsidRPr="00346779" w14:paraId="6F156975" w14:textId="77777777" w:rsidTr="00002D1F">
        <w:tc>
          <w:tcPr>
            <w:tcW w:w="0" w:type="auto"/>
            <w:tcBorders>
              <w:top w:val="outset" w:sz="6" w:space="0" w:color="auto"/>
              <w:left w:val="outset" w:sz="6" w:space="0" w:color="auto"/>
              <w:bottom w:val="outset" w:sz="6" w:space="0" w:color="auto"/>
              <w:right w:val="outset" w:sz="6" w:space="0" w:color="auto"/>
            </w:tcBorders>
            <w:hideMark/>
          </w:tcPr>
          <w:p w14:paraId="524D9CF5"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Response and Remediation</w:t>
            </w:r>
          </w:p>
        </w:tc>
        <w:tc>
          <w:tcPr>
            <w:tcW w:w="0" w:type="auto"/>
            <w:tcBorders>
              <w:top w:val="outset" w:sz="6" w:space="0" w:color="auto"/>
              <w:left w:val="outset" w:sz="6" w:space="0" w:color="auto"/>
              <w:bottom w:val="outset" w:sz="6" w:space="0" w:color="auto"/>
              <w:right w:val="outset" w:sz="6" w:space="0" w:color="auto"/>
            </w:tcBorders>
            <w:hideMark/>
          </w:tcPr>
          <w:p w14:paraId="068B53A0" w14:textId="77777777" w:rsidR="00CA7362" w:rsidRPr="00346779" w:rsidRDefault="00CA7362" w:rsidP="00002D1F">
            <w:pPr>
              <w:spacing w:after="0"/>
              <w:ind w:left="90" w:firstLine="0"/>
              <w:jc w:val="center"/>
              <w:rPr>
                <w:rFonts w:asciiTheme="minorHAnsi" w:hAnsiTheme="minorHAnsi"/>
              </w:rPr>
            </w:pPr>
            <w:r w:rsidRPr="00346779">
              <w:rPr>
                <w:rFonts w:asciiTheme="minorHAnsi" w:hAnsiTheme="minorHAnsi"/>
              </w:rPr>
              <w:t>•</w:t>
            </w:r>
            <w:r w:rsidRPr="00346779">
              <w:rPr>
                <w:rFonts w:asciiTheme="minorHAnsi" w:hAnsiTheme="minorHAnsi"/>
              </w:rPr>
              <w:br/>
              <w:t>•</w:t>
            </w:r>
          </w:p>
        </w:tc>
        <w:tc>
          <w:tcPr>
            <w:tcW w:w="0" w:type="auto"/>
            <w:tcBorders>
              <w:top w:val="outset" w:sz="6" w:space="0" w:color="auto"/>
              <w:left w:val="outset" w:sz="6" w:space="0" w:color="auto"/>
              <w:bottom w:val="outset" w:sz="6" w:space="0" w:color="auto"/>
              <w:right w:val="outset" w:sz="6" w:space="0" w:color="auto"/>
            </w:tcBorders>
            <w:hideMark/>
          </w:tcPr>
          <w:p w14:paraId="2A13D4D4"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Threat response actions</w:t>
            </w:r>
          </w:p>
          <w:p w14:paraId="55D8893A"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Remote remediation</w:t>
            </w:r>
          </w:p>
        </w:tc>
      </w:tr>
      <w:tr w:rsidR="00CA7362" w:rsidRPr="00346779" w14:paraId="14203C35" w14:textId="77777777" w:rsidTr="00002D1F">
        <w:tc>
          <w:tcPr>
            <w:tcW w:w="0" w:type="auto"/>
            <w:tcBorders>
              <w:top w:val="outset" w:sz="6" w:space="0" w:color="auto"/>
              <w:left w:val="outset" w:sz="6" w:space="0" w:color="auto"/>
              <w:bottom w:val="outset" w:sz="6" w:space="0" w:color="auto"/>
              <w:right w:val="outset" w:sz="6" w:space="0" w:color="auto"/>
            </w:tcBorders>
            <w:hideMark/>
          </w:tcPr>
          <w:p w14:paraId="237BA338"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Bi-Weekly Technical Review</w:t>
            </w:r>
          </w:p>
        </w:tc>
        <w:tc>
          <w:tcPr>
            <w:tcW w:w="0" w:type="auto"/>
            <w:tcBorders>
              <w:top w:val="outset" w:sz="6" w:space="0" w:color="auto"/>
              <w:left w:val="outset" w:sz="6" w:space="0" w:color="auto"/>
              <w:bottom w:val="outset" w:sz="6" w:space="0" w:color="auto"/>
              <w:right w:val="outset" w:sz="6" w:space="0" w:color="auto"/>
            </w:tcBorders>
            <w:hideMark/>
          </w:tcPr>
          <w:p w14:paraId="59315C9B" w14:textId="77777777" w:rsidR="00CA7362" w:rsidRPr="00346779" w:rsidRDefault="00CA7362" w:rsidP="00002D1F">
            <w:pPr>
              <w:spacing w:after="0"/>
              <w:ind w:left="90" w:firstLine="0"/>
              <w:jc w:val="center"/>
              <w:rPr>
                <w:rFonts w:asciiTheme="minorHAnsi" w:hAnsiTheme="minorHAnsi"/>
              </w:rPr>
            </w:pPr>
            <w:r w:rsidRPr="00346779">
              <w:rPr>
                <w:rFonts w:asciiTheme="minorHAnsi" w:hAnsiTheme="minorHAnsi"/>
              </w:rPr>
              <w:t>•</w:t>
            </w:r>
            <w:r w:rsidRPr="00346779">
              <w:rPr>
                <w:rFonts w:asciiTheme="minorHAnsi" w:hAnsiTheme="minorHAnsi"/>
              </w:rPr>
              <w:br/>
              <w:t>•</w:t>
            </w:r>
            <w:r w:rsidRPr="00346779">
              <w:rPr>
                <w:rFonts w:asciiTheme="minorHAnsi" w:hAnsiTheme="minorHAnsi"/>
              </w:rPr>
              <w:br/>
              <w:t>•</w:t>
            </w:r>
          </w:p>
        </w:tc>
        <w:tc>
          <w:tcPr>
            <w:tcW w:w="0" w:type="auto"/>
            <w:tcBorders>
              <w:top w:val="outset" w:sz="6" w:space="0" w:color="auto"/>
              <w:left w:val="outset" w:sz="6" w:space="0" w:color="auto"/>
              <w:bottom w:val="outset" w:sz="6" w:space="0" w:color="auto"/>
              <w:right w:val="outset" w:sz="6" w:space="0" w:color="auto"/>
            </w:tcBorders>
            <w:hideMark/>
          </w:tcPr>
          <w:p w14:paraId="55BA882A"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Review Investigations and trends</w:t>
            </w:r>
          </w:p>
          <w:p w14:paraId="700695A3" w14:textId="77777777" w:rsidR="00CA7362" w:rsidRPr="00346779" w:rsidRDefault="00CA7362" w:rsidP="00002D1F">
            <w:pPr>
              <w:spacing w:after="0"/>
              <w:ind w:left="90" w:firstLine="0"/>
              <w:rPr>
                <w:rFonts w:asciiTheme="minorHAnsi" w:hAnsiTheme="minorHAnsi"/>
              </w:rPr>
            </w:pPr>
            <w:proofErr w:type="gramStart"/>
            <w:r w:rsidRPr="00346779">
              <w:rPr>
                <w:rFonts w:asciiTheme="minorHAnsi" w:hAnsiTheme="minorHAnsi"/>
              </w:rPr>
              <w:t>Review</w:t>
            </w:r>
            <w:proofErr w:type="gramEnd"/>
            <w:r w:rsidRPr="00346779">
              <w:rPr>
                <w:rFonts w:asciiTheme="minorHAnsi" w:hAnsiTheme="minorHAnsi"/>
              </w:rPr>
              <w:t xml:space="preserve"> ongoing action plans</w:t>
            </w:r>
          </w:p>
          <w:p w14:paraId="47A77B03"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Discuss specific findings</w:t>
            </w:r>
          </w:p>
          <w:p w14:paraId="7F26F209"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Provide security posture guidance</w:t>
            </w:r>
          </w:p>
        </w:tc>
      </w:tr>
      <w:tr w:rsidR="00CA7362" w:rsidRPr="00346779" w14:paraId="5745EE19" w14:textId="77777777" w:rsidTr="00002D1F">
        <w:tc>
          <w:tcPr>
            <w:tcW w:w="0" w:type="auto"/>
            <w:tcBorders>
              <w:top w:val="outset" w:sz="6" w:space="0" w:color="auto"/>
              <w:left w:val="outset" w:sz="6" w:space="0" w:color="auto"/>
              <w:bottom w:val="outset" w:sz="6" w:space="0" w:color="auto"/>
              <w:right w:val="outset" w:sz="6" w:space="0" w:color="auto"/>
            </w:tcBorders>
            <w:hideMark/>
          </w:tcPr>
          <w:p w14:paraId="33B2772D"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Threat Intelligence Briefings</w:t>
            </w:r>
          </w:p>
        </w:tc>
        <w:tc>
          <w:tcPr>
            <w:tcW w:w="0" w:type="auto"/>
            <w:tcBorders>
              <w:top w:val="outset" w:sz="6" w:space="0" w:color="auto"/>
              <w:left w:val="outset" w:sz="6" w:space="0" w:color="auto"/>
              <w:bottom w:val="outset" w:sz="6" w:space="0" w:color="auto"/>
              <w:right w:val="outset" w:sz="6" w:space="0" w:color="auto"/>
            </w:tcBorders>
            <w:hideMark/>
          </w:tcPr>
          <w:p w14:paraId="6092BC7B" w14:textId="77777777" w:rsidR="00CA7362" w:rsidRPr="00346779" w:rsidRDefault="00CA7362" w:rsidP="00002D1F">
            <w:pPr>
              <w:spacing w:after="0"/>
              <w:ind w:left="90" w:firstLine="0"/>
              <w:jc w:val="center"/>
              <w:rPr>
                <w:rFonts w:asciiTheme="minorHAnsi" w:hAnsiTheme="minorHAnsi"/>
              </w:rPr>
            </w:pPr>
            <w:r w:rsidRPr="00346779">
              <w:rPr>
                <w:rFonts w:asciiTheme="minorHAnsi" w:hAnsiTheme="minorHAnsi"/>
              </w:rPr>
              <w:t>•</w:t>
            </w:r>
            <w:r w:rsidRPr="00346779">
              <w:rPr>
                <w:rFonts w:asciiTheme="minorHAnsi" w:hAnsiTheme="minorHAnsi"/>
              </w:rPr>
              <w:br/>
              <w:t>•</w:t>
            </w:r>
          </w:p>
        </w:tc>
        <w:tc>
          <w:tcPr>
            <w:tcW w:w="0" w:type="auto"/>
            <w:tcBorders>
              <w:top w:val="outset" w:sz="6" w:space="0" w:color="auto"/>
              <w:left w:val="outset" w:sz="6" w:space="0" w:color="auto"/>
              <w:bottom w:val="outset" w:sz="6" w:space="0" w:color="auto"/>
              <w:right w:val="outset" w:sz="6" w:space="0" w:color="auto"/>
            </w:tcBorders>
            <w:hideMark/>
          </w:tcPr>
          <w:p w14:paraId="7855B14B"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Current threats</w:t>
            </w:r>
          </w:p>
          <w:p w14:paraId="0A7F78B2"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Relevant threat actor activity</w:t>
            </w:r>
          </w:p>
        </w:tc>
      </w:tr>
      <w:tr w:rsidR="00CA7362" w:rsidRPr="00346779" w14:paraId="391CEF11" w14:textId="77777777" w:rsidTr="00002D1F">
        <w:tc>
          <w:tcPr>
            <w:tcW w:w="0" w:type="auto"/>
            <w:tcBorders>
              <w:top w:val="outset" w:sz="6" w:space="0" w:color="auto"/>
              <w:left w:val="outset" w:sz="6" w:space="0" w:color="auto"/>
              <w:bottom w:val="outset" w:sz="6" w:space="0" w:color="auto"/>
              <w:right w:val="outset" w:sz="6" w:space="0" w:color="auto"/>
            </w:tcBorders>
            <w:hideMark/>
          </w:tcPr>
          <w:p w14:paraId="30CC2015"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Quarterly Executive Review</w:t>
            </w:r>
          </w:p>
        </w:tc>
        <w:tc>
          <w:tcPr>
            <w:tcW w:w="0" w:type="auto"/>
            <w:tcBorders>
              <w:top w:val="outset" w:sz="6" w:space="0" w:color="auto"/>
              <w:left w:val="outset" w:sz="6" w:space="0" w:color="auto"/>
              <w:bottom w:val="outset" w:sz="6" w:space="0" w:color="auto"/>
              <w:right w:val="outset" w:sz="6" w:space="0" w:color="auto"/>
            </w:tcBorders>
            <w:hideMark/>
          </w:tcPr>
          <w:p w14:paraId="21F787CB" w14:textId="77777777" w:rsidR="00CA7362" w:rsidRPr="00346779" w:rsidRDefault="00CA7362" w:rsidP="00002D1F">
            <w:pPr>
              <w:spacing w:after="0"/>
              <w:ind w:left="90" w:firstLine="0"/>
              <w:jc w:val="center"/>
              <w:rPr>
                <w:rFonts w:asciiTheme="minorHAnsi" w:hAnsiTheme="minorHAnsi"/>
              </w:rPr>
            </w:pPr>
            <w:r w:rsidRPr="00346779">
              <w:rPr>
                <w:rFonts w:asciiTheme="minorHAnsi" w:hAnsiTheme="minorHAnsi"/>
              </w:rPr>
              <w:t>•</w:t>
            </w:r>
            <w:r w:rsidRPr="00346779">
              <w:rPr>
                <w:rFonts w:asciiTheme="minorHAnsi" w:hAnsiTheme="minorHAnsi"/>
              </w:rPr>
              <w:br/>
              <w:t>•</w:t>
            </w:r>
            <w:r w:rsidRPr="00346779">
              <w:rPr>
                <w:rFonts w:asciiTheme="minorHAnsi" w:hAnsiTheme="minorHAnsi"/>
              </w:rPr>
              <w:br/>
              <w:t>•</w:t>
            </w:r>
          </w:p>
        </w:tc>
        <w:tc>
          <w:tcPr>
            <w:tcW w:w="0" w:type="auto"/>
            <w:tcBorders>
              <w:top w:val="outset" w:sz="6" w:space="0" w:color="auto"/>
              <w:left w:val="outset" w:sz="6" w:space="0" w:color="auto"/>
              <w:bottom w:val="outset" w:sz="6" w:space="0" w:color="auto"/>
              <w:right w:val="outset" w:sz="6" w:space="0" w:color="auto"/>
            </w:tcBorders>
            <w:hideMark/>
          </w:tcPr>
          <w:p w14:paraId="30213922" w14:textId="77777777" w:rsidR="00CA7362" w:rsidRPr="00346779" w:rsidRDefault="00CA7362" w:rsidP="00002D1F">
            <w:pPr>
              <w:spacing w:after="0"/>
              <w:ind w:left="90" w:firstLine="0"/>
              <w:rPr>
                <w:rFonts w:asciiTheme="minorHAnsi" w:hAnsiTheme="minorHAnsi"/>
              </w:rPr>
            </w:pPr>
            <w:proofErr w:type="gramStart"/>
            <w:r w:rsidRPr="00346779">
              <w:rPr>
                <w:rFonts w:asciiTheme="minorHAnsi" w:hAnsiTheme="minorHAnsi"/>
              </w:rPr>
              <w:t>Review</w:t>
            </w:r>
            <w:proofErr w:type="gramEnd"/>
            <w:r w:rsidRPr="00346779">
              <w:rPr>
                <w:rFonts w:asciiTheme="minorHAnsi" w:hAnsiTheme="minorHAnsi"/>
              </w:rPr>
              <w:t xml:space="preserve"> metrics and reports</w:t>
            </w:r>
          </w:p>
          <w:p w14:paraId="0599A4A6"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Discuss risk profile</w:t>
            </w:r>
          </w:p>
          <w:p w14:paraId="724E18DE"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Review security posture guidance</w:t>
            </w:r>
          </w:p>
        </w:tc>
      </w:tr>
      <w:tr w:rsidR="00CA7362" w:rsidRPr="00346779" w14:paraId="22ABF6FC" w14:textId="77777777" w:rsidTr="00002D1F">
        <w:tc>
          <w:tcPr>
            <w:tcW w:w="0" w:type="auto"/>
            <w:tcBorders>
              <w:top w:val="outset" w:sz="6" w:space="0" w:color="auto"/>
              <w:left w:val="outset" w:sz="6" w:space="0" w:color="auto"/>
              <w:bottom w:val="outset" w:sz="6" w:space="0" w:color="auto"/>
              <w:right w:val="outset" w:sz="6" w:space="0" w:color="auto"/>
            </w:tcBorders>
            <w:hideMark/>
          </w:tcPr>
          <w:p w14:paraId="260C20BD"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Incident Response</w:t>
            </w:r>
          </w:p>
        </w:tc>
        <w:tc>
          <w:tcPr>
            <w:tcW w:w="0" w:type="auto"/>
            <w:tcBorders>
              <w:top w:val="outset" w:sz="6" w:space="0" w:color="auto"/>
              <w:left w:val="outset" w:sz="6" w:space="0" w:color="auto"/>
              <w:bottom w:val="outset" w:sz="6" w:space="0" w:color="auto"/>
              <w:right w:val="outset" w:sz="6" w:space="0" w:color="auto"/>
            </w:tcBorders>
            <w:hideMark/>
          </w:tcPr>
          <w:p w14:paraId="3A50CA07" w14:textId="77777777" w:rsidR="00CA7362" w:rsidRPr="00346779" w:rsidRDefault="00CA7362" w:rsidP="00002D1F">
            <w:pPr>
              <w:spacing w:after="0"/>
              <w:ind w:left="90" w:firstLine="0"/>
              <w:jc w:val="center"/>
              <w:rPr>
                <w:rFonts w:asciiTheme="minorHAnsi" w:hAnsiTheme="minorHAnsi"/>
              </w:rPr>
            </w:pPr>
            <w:r w:rsidRPr="00346779">
              <w:rPr>
                <w:rFonts w:asciiTheme="minorHAnsi" w:hAnsiTheme="minorHAnsi"/>
              </w:rPr>
              <w:t>•</w:t>
            </w:r>
          </w:p>
        </w:tc>
        <w:tc>
          <w:tcPr>
            <w:tcW w:w="0" w:type="auto"/>
            <w:tcBorders>
              <w:top w:val="outset" w:sz="6" w:space="0" w:color="auto"/>
              <w:left w:val="outset" w:sz="6" w:space="0" w:color="auto"/>
              <w:bottom w:val="outset" w:sz="6" w:space="0" w:color="auto"/>
              <w:right w:val="outset" w:sz="6" w:space="0" w:color="auto"/>
            </w:tcBorders>
            <w:hideMark/>
          </w:tcPr>
          <w:p w14:paraId="48634070" w14:textId="77777777" w:rsidR="00CA7362" w:rsidRPr="00346779" w:rsidRDefault="00CA7362" w:rsidP="00002D1F">
            <w:pPr>
              <w:spacing w:after="0"/>
              <w:ind w:left="90" w:firstLine="0"/>
              <w:rPr>
                <w:rFonts w:asciiTheme="minorHAnsi" w:hAnsiTheme="minorHAnsi"/>
              </w:rPr>
            </w:pPr>
            <w:r w:rsidRPr="00346779">
              <w:rPr>
                <w:rFonts w:asciiTheme="minorHAnsi" w:hAnsiTheme="minorHAnsi"/>
              </w:rPr>
              <w:t>Remote incident response</w:t>
            </w:r>
          </w:p>
        </w:tc>
      </w:tr>
    </w:tbl>
    <w:p w14:paraId="3A2EE369" w14:textId="77777777" w:rsidR="00CA7362" w:rsidRDefault="00CA7362" w:rsidP="00CA7362">
      <w:pPr>
        <w:spacing w:after="12" w:line="256" w:lineRule="auto"/>
        <w:ind w:left="90" w:firstLine="0"/>
        <w:jc w:val="center"/>
        <w:rPr>
          <w:kern w:val="0"/>
          <w:szCs w:val="20"/>
          <w14:ligatures w14:val="none"/>
        </w:rPr>
      </w:pPr>
      <w:r w:rsidRPr="00346779">
        <w:rPr>
          <w:rFonts w:asciiTheme="minorHAnsi" w:hAnsiTheme="minorHAnsi"/>
          <w:i/>
          <w:iCs/>
        </w:rPr>
        <w:t>Figure 1: PacketWatch Professional Services Overview</w:t>
      </w:r>
    </w:p>
    <w:p w14:paraId="28E191CF" w14:textId="77777777" w:rsidR="00CA7362" w:rsidRDefault="00CA7362" w:rsidP="00CA7362">
      <w:pPr>
        <w:pStyle w:val="ListParagraph"/>
        <w:ind w:left="90" w:firstLine="0"/>
      </w:pPr>
    </w:p>
    <w:p w14:paraId="3F0659FF" w14:textId="77777777" w:rsidR="00C23767" w:rsidRPr="00E66AB8" w:rsidRDefault="005A7438" w:rsidP="00113465">
      <w:pPr>
        <w:spacing w:after="41" w:line="259" w:lineRule="auto"/>
        <w:ind w:left="90" w:right="25"/>
        <w:rPr>
          <w:rFonts w:asciiTheme="minorHAnsi" w:hAnsiTheme="minorHAnsi"/>
        </w:rPr>
      </w:pPr>
      <w:r w:rsidRPr="00E66AB8">
        <w:rPr>
          <w:rFonts w:asciiTheme="minorHAnsi" w:hAnsiTheme="minorHAnsi"/>
        </w:rPr>
        <w:t xml:space="preserve">All the Services are provided remotely except as may be noted herein. </w:t>
      </w:r>
    </w:p>
    <w:p w14:paraId="217DE4DC" w14:textId="77777777" w:rsidR="00C23767" w:rsidRPr="00E66AB8" w:rsidRDefault="005A7438" w:rsidP="00113465">
      <w:pPr>
        <w:pStyle w:val="Heading1"/>
        <w:spacing w:after="230"/>
        <w:ind w:left="90"/>
        <w:rPr>
          <w:rFonts w:asciiTheme="minorHAnsi" w:hAnsiTheme="minorHAnsi"/>
        </w:rPr>
      </w:pPr>
      <w:bookmarkStart w:id="6" w:name="_Toc232428835"/>
      <w:bookmarkStart w:id="7" w:name="_Toc232497706"/>
      <w:r w:rsidRPr="00E66AB8">
        <w:rPr>
          <w:rFonts w:asciiTheme="minorHAnsi" w:hAnsiTheme="minorHAnsi"/>
        </w:rPr>
        <w:t>Detailed Service Description</w:t>
      </w:r>
      <w:bookmarkEnd w:id="6"/>
      <w:bookmarkEnd w:id="7"/>
      <w:r w:rsidRPr="00E66AB8">
        <w:rPr>
          <w:rFonts w:asciiTheme="minorHAnsi" w:hAnsiTheme="minorHAnsi"/>
          <w:color w:val="000000"/>
        </w:rPr>
        <w:t xml:space="preserve"> </w:t>
      </w:r>
    </w:p>
    <w:p w14:paraId="75C19187" w14:textId="77777777" w:rsidR="00C23767" w:rsidRPr="00E66AB8" w:rsidRDefault="005A7438" w:rsidP="00113465">
      <w:pPr>
        <w:pStyle w:val="Heading2"/>
        <w:ind w:left="90"/>
        <w:rPr>
          <w:rFonts w:asciiTheme="minorHAnsi" w:hAnsiTheme="minorHAnsi"/>
        </w:rPr>
      </w:pPr>
      <w:bookmarkStart w:id="8" w:name="_Toc232428836"/>
      <w:bookmarkStart w:id="9" w:name="_Toc232497707"/>
      <w:r w:rsidRPr="00E66AB8">
        <w:rPr>
          <w:rFonts w:asciiTheme="minorHAnsi" w:hAnsiTheme="minorHAnsi"/>
        </w:rPr>
        <w:t>Onboarding</w:t>
      </w:r>
      <w:bookmarkEnd w:id="8"/>
      <w:bookmarkEnd w:id="9"/>
      <w:r w:rsidRPr="00E66AB8">
        <w:rPr>
          <w:rFonts w:asciiTheme="minorHAnsi" w:hAnsiTheme="minorHAnsi"/>
          <w:color w:val="000000"/>
        </w:rPr>
        <w:t xml:space="preserve"> </w:t>
      </w:r>
    </w:p>
    <w:p w14:paraId="1DF8DE6F" w14:textId="77777777" w:rsidR="00C23767" w:rsidRPr="00E66AB8" w:rsidRDefault="005A7438" w:rsidP="00113465">
      <w:pPr>
        <w:pStyle w:val="Heading3"/>
        <w:ind w:left="90"/>
        <w:rPr>
          <w:rFonts w:asciiTheme="minorHAnsi" w:hAnsiTheme="minorHAnsi"/>
        </w:rPr>
      </w:pPr>
      <w:bookmarkStart w:id="10" w:name="_Toc232428837"/>
      <w:bookmarkStart w:id="11" w:name="_Toc232497708"/>
      <w:r w:rsidRPr="00E66AB8">
        <w:rPr>
          <w:rFonts w:asciiTheme="minorHAnsi" w:hAnsiTheme="minorHAnsi"/>
        </w:rPr>
        <w:t>Service Kick-Off Meeting</w:t>
      </w:r>
      <w:bookmarkEnd w:id="10"/>
      <w:bookmarkEnd w:id="11"/>
      <w:r w:rsidRPr="00E66AB8">
        <w:rPr>
          <w:rFonts w:asciiTheme="minorHAnsi" w:hAnsiTheme="minorHAnsi"/>
          <w:color w:val="000000"/>
        </w:rPr>
        <w:t xml:space="preserve"> </w:t>
      </w:r>
    </w:p>
    <w:p w14:paraId="6A774D47" w14:textId="77777777" w:rsidR="00383A19" w:rsidRDefault="00383A19" w:rsidP="00113465">
      <w:pPr>
        <w:spacing w:after="199"/>
        <w:ind w:left="90" w:right="25"/>
        <w:rPr>
          <w:kern w:val="0"/>
          <w:szCs w:val="20"/>
          <w14:ligatures w14:val="none"/>
        </w:rPr>
      </w:pPr>
      <w:r>
        <w:rPr>
          <w:rFonts w:ascii="Aptos" w:hAnsi="Aptos"/>
        </w:rPr>
        <w:t xml:space="preserve">The designated PacketWatch Project Manager will conduct an initial meeting to set expectations for the Services, review the Client’s IT environment, and discuss installation requirements for </w:t>
      </w:r>
      <w:proofErr w:type="spellStart"/>
      <w:r>
        <w:rPr>
          <w:rFonts w:ascii="Aptos" w:hAnsi="Aptos"/>
        </w:rPr>
        <w:t>WireSight</w:t>
      </w:r>
      <w:proofErr w:type="spellEnd"/>
      <w:r>
        <w:rPr>
          <w:rFonts w:ascii="Aptos" w:hAnsi="Aptos"/>
        </w:rPr>
        <w:t>, related PacketWatch components, and any third-party EDR product licensed through PacketWatch and included in the Services. PacketWatch and Client will agree on a delivery plan and implementation timeline for the Services. The goals of the service initiation meeting are to:</w:t>
      </w:r>
    </w:p>
    <w:p w14:paraId="706748C1" w14:textId="77777777" w:rsidR="003E12F0" w:rsidRPr="00E66AB8" w:rsidRDefault="005A7438" w:rsidP="00CA7362">
      <w:pPr>
        <w:numPr>
          <w:ilvl w:val="0"/>
          <w:numId w:val="2"/>
        </w:numPr>
        <w:spacing w:after="78"/>
        <w:ind w:left="450" w:right="25" w:hanging="360"/>
        <w:rPr>
          <w:rFonts w:asciiTheme="minorHAnsi" w:hAnsiTheme="minorHAnsi"/>
        </w:rPr>
      </w:pPr>
      <w:r w:rsidRPr="00E66AB8">
        <w:rPr>
          <w:rFonts w:asciiTheme="minorHAnsi" w:hAnsiTheme="minorHAnsi"/>
        </w:rPr>
        <w:t xml:space="preserve">Review and discuss Client Questionnaire responses to better understand Client's IT environment, existing security controls, concerns, and any other relevant context; </w:t>
      </w:r>
    </w:p>
    <w:p w14:paraId="0DB2ADAC" w14:textId="77777777" w:rsidR="00DF52FA" w:rsidRPr="00346779" w:rsidRDefault="00DF52FA" w:rsidP="00CA7362">
      <w:pPr>
        <w:numPr>
          <w:ilvl w:val="0"/>
          <w:numId w:val="2"/>
        </w:numPr>
        <w:spacing w:after="78"/>
        <w:ind w:left="450" w:right="25" w:hanging="360"/>
        <w:rPr>
          <w:rFonts w:asciiTheme="minorHAnsi" w:hAnsiTheme="minorHAnsi"/>
        </w:rPr>
      </w:pPr>
      <w:r w:rsidRPr="00346779">
        <w:rPr>
          <w:rFonts w:asciiTheme="minorHAnsi" w:hAnsiTheme="minorHAnsi"/>
        </w:rPr>
        <w:t xml:space="preserve">Cover the installation of </w:t>
      </w:r>
      <w:proofErr w:type="spellStart"/>
      <w:r w:rsidRPr="00346779">
        <w:rPr>
          <w:rFonts w:asciiTheme="minorHAnsi" w:hAnsiTheme="minorHAnsi"/>
        </w:rPr>
        <w:t>WireSight</w:t>
      </w:r>
      <w:proofErr w:type="spellEnd"/>
      <w:r w:rsidRPr="00346779">
        <w:rPr>
          <w:rFonts w:asciiTheme="minorHAnsi" w:hAnsiTheme="minorHAnsi"/>
        </w:rPr>
        <w:t xml:space="preserve">, network traffic mirrored to the collector(s), and related topics; </w:t>
      </w:r>
    </w:p>
    <w:p w14:paraId="70A5C3A4" w14:textId="77777777" w:rsidR="001E4554" w:rsidRPr="00E66AB8" w:rsidRDefault="001E4554" w:rsidP="00CA7362">
      <w:pPr>
        <w:numPr>
          <w:ilvl w:val="0"/>
          <w:numId w:val="2"/>
        </w:numPr>
        <w:spacing w:after="78"/>
        <w:ind w:left="450" w:right="25" w:hanging="360"/>
      </w:pPr>
      <w:r w:rsidRPr="00346779">
        <w:rPr>
          <w:rFonts w:asciiTheme="minorHAnsi" w:hAnsiTheme="minorHAnsi"/>
        </w:rPr>
        <w:t>Provide guidance</w:t>
      </w:r>
      <w:r w:rsidRPr="00E66AB8">
        <w:t xml:space="preserve"> on current </w:t>
      </w:r>
      <w:r w:rsidRPr="001E4554">
        <w:rPr>
          <w:rFonts w:ascii="Aptos" w:hAnsi="Aptos"/>
        </w:rPr>
        <w:t>Signals</w:t>
      </w:r>
      <w:r w:rsidRPr="00E66AB8">
        <w:t xml:space="preserve"> in </w:t>
      </w:r>
      <w:proofErr w:type="spellStart"/>
      <w:r w:rsidRPr="001E4554">
        <w:rPr>
          <w:rFonts w:ascii="Aptos" w:hAnsi="Aptos"/>
        </w:rPr>
        <w:t>WireSight</w:t>
      </w:r>
      <w:proofErr w:type="spellEnd"/>
      <w:r w:rsidRPr="00E66AB8">
        <w:t xml:space="preserve"> and how they can be applied to Client; and </w:t>
      </w:r>
    </w:p>
    <w:p w14:paraId="0F77930E" w14:textId="77777777" w:rsidR="00243B9A" w:rsidRPr="00243B9A" w:rsidRDefault="00243B9A" w:rsidP="00CA7362">
      <w:pPr>
        <w:numPr>
          <w:ilvl w:val="0"/>
          <w:numId w:val="2"/>
        </w:numPr>
        <w:spacing w:after="78"/>
        <w:ind w:left="450" w:right="25" w:hanging="360"/>
      </w:pPr>
      <w:r w:rsidRPr="00CA7362">
        <w:rPr>
          <w:rFonts w:asciiTheme="minorHAnsi" w:hAnsiTheme="minorHAnsi"/>
        </w:rPr>
        <w:t>Provide</w:t>
      </w:r>
      <w:r w:rsidRPr="00243B9A">
        <w:rPr>
          <w:rFonts w:ascii="Aptos" w:hAnsi="Aptos"/>
        </w:rPr>
        <w:t xml:space="preserve"> guidance on utilizing the Client’s EDR application and its configurations along with any other third-party software made available to the PacketWatch analyst team.</w:t>
      </w:r>
    </w:p>
    <w:p w14:paraId="003A18EB" w14:textId="77777777" w:rsidR="00A46761" w:rsidRPr="00E66AB8" w:rsidRDefault="00A46761" w:rsidP="00CA7362">
      <w:pPr>
        <w:spacing w:after="9"/>
        <w:ind w:left="450" w:right="25" w:hanging="360"/>
        <w:rPr>
          <w:rFonts w:asciiTheme="minorHAnsi" w:hAnsiTheme="minorHAnsi"/>
        </w:rPr>
      </w:pPr>
      <w:r w:rsidRPr="00E66AB8">
        <w:rPr>
          <w:rFonts w:asciiTheme="minorHAnsi" w:hAnsiTheme="minorHAnsi"/>
        </w:rPr>
        <w:t>If Client requests services outside the scope of this Service Description, the additional services and any related fees must be documented in an addendum, change order, SOW, or other written agreement accepted by the parties.</w:t>
      </w:r>
    </w:p>
    <w:p w14:paraId="107D25E1" w14:textId="77777777" w:rsidR="00346779" w:rsidRDefault="00346779" w:rsidP="00113465">
      <w:pPr>
        <w:pStyle w:val="Heading3"/>
        <w:ind w:left="90"/>
        <w:rPr>
          <w:rFonts w:cstheme="minorBidi"/>
          <w:kern w:val="0"/>
          <w:szCs w:val="22"/>
          <w14:ligatures w14:val="none"/>
        </w:rPr>
      </w:pPr>
      <w:bookmarkStart w:id="12" w:name="_Toc232428838"/>
      <w:bookmarkStart w:id="13" w:name="_Toc232497709"/>
      <w:r>
        <w:rPr>
          <w:rFonts w:ascii="Aptos" w:hAnsi="Aptos" w:cstheme="minorBidi"/>
        </w:rPr>
        <w:t>Pre-Engagement Questionnaire</w:t>
      </w:r>
      <w:bookmarkEnd w:id="12"/>
      <w:bookmarkEnd w:id="13"/>
      <w:r>
        <w:rPr>
          <w:rFonts w:ascii="Aptos" w:hAnsi="Aptos" w:cstheme="minorBidi"/>
          <w:color w:val="000000"/>
        </w:rPr>
        <w:t xml:space="preserve"> </w:t>
      </w:r>
    </w:p>
    <w:p w14:paraId="3C9FABE3" w14:textId="77777777" w:rsidR="00383A19" w:rsidRDefault="00383A19" w:rsidP="00113465">
      <w:pPr>
        <w:spacing w:after="0"/>
        <w:ind w:left="90" w:right="25"/>
        <w:rPr>
          <w:rFonts w:ascii="Aptos" w:hAnsi="Aptos"/>
        </w:rPr>
      </w:pPr>
      <w:r>
        <w:rPr>
          <w:rFonts w:ascii="Aptos" w:hAnsi="Aptos"/>
        </w:rPr>
        <w:t>Client must complete the Pre-Engagement Questionnaire before the IT environment review. The Pre-Engagement Questionnaire is sent by the PacketWatch Project Manager and contains a detailed checklist and IT environment specifications necessary for configuring the Services.</w:t>
      </w:r>
    </w:p>
    <w:p w14:paraId="15D2DF8F" w14:textId="41C86EC6" w:rsidR="00C23767" w:rsidRPr="00E66AB8" w:rsidRDefault="005A7438" w:rsidP="00113465">
      <w:pPr>
        <w:pStyle w:val="Heading3"/>
        <w:ind w:left="90"/>
        <w:rPr>
          <w:rFonts w:asciiTheme="minorHAnsi" w:hAnsiTheme="minorHAnsi"/>
        </w:rPr>
      </w:pPr>
      <w:bookmarkStart w:id="14" w:name="_Toc232428839"/>
      <w:bookmarkStart w:id="15" w:name="_Toc232497710"/>
      <w:r w:rsidRPr="00E66AB8">
        <w:rPr>
          <w:rFonts w:asciiTheme="minorHAnsi" w:hAnsiTheme="minorHAnsi"/>
        </w:rPr>
        <w:t>Review of IT Environment</w:t>
      </w:r>
      <w:bookmarkEnd w:id="14"/>
      <w:bookmarkEnd w:id="15"/>
      <w:r w:rsidRPr="00E66AB8">
        <w:rPr>
          <w:rFonts w:asciiTheme="minorHAnsi" w:hAnsiTheme="minorHAnsi"/>
          <w:color w:val="000000"/>
        </w:rPr>
        <w:t xml:space="preserve"> </w:t>
      </w:r>
    </w:p>
    <w:p w14:paraId="588FFAB5" w14:textId="77777777" w:rsidR="00C33D86" w:rsidRDefault="00C33D86">
      <w:pPr>
        <w:spacing w:after="12"/>
        <w:ind w:left="90" w:right="25"/>
      </w:pPr>
      <w:bookmarkStart w:id="16" w:name="_Toc232428840"/>
      <w:bookmarkStart w:id="17" w:name="_Toc232497711"/>
      <w:r w:rsidRPr="00E66AB8">
        <w:rPr>
          <w:rFonts w:asciiTheme="minorHAnsi" w:hAnsiTheme="minorHAnsi"/>
        </w:rPr>
        <w:t xml:space="preserve">The </w:t>
      </w:r>
      <w:r>
        <w:rPr>
          <w:rFonts w:ascii="Aptos" w:hAnsi="Aptos"/>
        </w:rPr>
        <w:t>Client Environment</w:t>
      </w:r>
      <w:r w:rsidRPr="00E66AB8">
        <w:rPr>
          <w:rFonts w:asciiTheme="minorHAnsi" w:hAnsiTheme="minorHAnsi"/>
        </w:rPr>
        <w:t xml:space="preserve"> review is a collaborative activity performed to gather information about the existing environment into which the PacketWatch collector(s) and the EDR software will be implemented.</w:t>
      </w:r>
    </w:p>
    <w:p w14:paraId="5318F21E" w14:textId="77777777" w:rsidR="00C23767" w:rsidRPr="00E66AB8" w:rsidRDefault="005A7438" w:rsidP="00113465">
      <w:pPr>
        <w:pStyle w:val="Heading3"/>
        <w:ind w:left="90"/>
        <w:rPr>
          <w:rFonts w:asciiTheme="minorHAnsi" w:hAnsiTheme="minorHAnsi"/>
        </w:rPr>
      </w:pPr>
      <w:r w:rsidRPr="00E66AB8">
        <w:rPr>
          <w:rFonts w:asciiTheme="minorHAnsi" w:hAnsiTheme="minorHAnsi"/>
        </w:rPr>
        <w:t>EDR Application Provisioning and Enablement</w:t>
      </w:r>
      <w:bookmarkEnd w:id="16"/>
      <w:bookmarkEnd w:id="17"/>
      <w:r w:rsidRPr="00E66AB8">
        <w:rPr>
          <w:rFonts w:asciiTheme="minorHAnsi" w:hAnsiTheme="minorHAnsi"/>
          <w:color w:val="000000"/>
        </w:rPr>
        <w:t xml:space="preserve"> </w:t>
      </w:r>
    </w:p>
    <w:p w14:paraId="6D2B14EA" w14:textId="77777777" w:rsidR="00291E4F" w:rsidRDefault="00291E4F">
      <w:pPr>
        <w:spacing w:after="160"/>
        <w:ind w:left="90" w:right="25"/>
        <w:rPr>
          <w:kern w:val="0"/>
          <w:szCs w:val="20"/>
          <w14:ligatures w14:val="none"/>
        </w:rPr>
      </w:pPr>
      <w:r>
        <w:rPr>
          <w:rFonts w:ascii="Aptos" w:hAnsi="Aptos"/>
        </w:rPr>
        <w:t>Where Client has procured a CrowdStrike or another supported third-party EDR product license from PacketWatch, PacketWatch will assist Client with the following:</w:t>
      </w:r>
    </w:p>
    <w:p w14:paraId="13E76962" w14:textId="77777777" w:rsidR="00291E4F" w:rsidRPr="00291E4F" w:rsidRDefault="00291E4F" w:rsidP="00291E4F">
      <w:pPr>
        <w:pStyle w:val="ListParagraph"/>
        <w:numPr>
          <w:ilvl w:val="0"/>
          <w:numId w:val="3"/>
        </w:numPr>
        <w:rPr>
          <w:kern w:val="0"/>
          <w:szCs w:val="20"/>
          <w14:ligatures w14:val="none"/>
        </w:rPr>
      </w:pPr>
      <w:r w:rsidRPr="00291E4F">
        <w:rPr>
          <w:rFonts w:ascii="Aptos" w:hAnsi="Aptos"/>
        </w:rPr>
        <w:t>Establish Client’s designated instance of the EDR application to initiate the Services</w:t>
      </w:r>
    </w:p>
    <w:p w14:paraId="2132D2C5" w14:textId="77777777" w:rsidR="00C23767" w:rsidRPr="00C33D86" w:rsidRDefault="005A7438" w:rsidP="00C33D86">
      <w:pPr>
        <w:pStyle w:val="ListParagraph"/>
        <w:numPr>
          <w:ilvl w:val="0"/>
          <w:numId w:val="3"/>
        </w:numPr>
        <w:rPr>
          <w:rFonts w:ascii="Aptos" w:hAnsi="Aptos"/>
        </w:rPr>
      </w:pPr>
      <w:proofErr w:type="gramStart"/>
      <w:r w:rsidRPr="00C33D86">
        <w:rPr>
          <w:rFonts w:ascii="Aptos" w:hAnsi="Aptos"/>
        </w:rPr>
        <w:t>Send Client</w:t>
      </w:r>
      <w:proofErr w:type="gramEnd"/>
      <w:r w:rsidRPr="00C33D86">
        <w:rPr>
          <w:rFonts w:ascii="Aptos" w:hAnsi="Aptos"/>
        </w:rPr>
        <w:t xml:space="preserve"> the initial application </w:t>
      </w:r>
      <w:proofErr w:type="gramStart"/>
      <w:r w:rsidRPr="00C33D86">
        <w:rPr>
          <w:rFonts w:ascii="Aptos" w:hAnsi="Aptos"/>
        </w:rPr>
        <w:t>registration for access</w:t>
      </w:r>
      <w:proofErr w:type="gramEnd"/>
      <w:r w:rsidRPr="00C33D86">
        <w:rPr>
          <w:rFonts w:ascii="Aptos" w:hAnsi="Aptos"/>
        </w:rPr>
        <w:t xml:space="preserve"> to the EDR application </w:t>
      </w:r>
    </w:p>
    <w:p w14:paraId="35CC84B1" w14:textId="77777777" w:rsidR="00C23767" w:rsidRPr="00C33D86" w:rsidRDefault="005A7438" w:rsidP="00C33D86">
      <w:pPr>
        <w:pStyle w:val="ListParagraph"/>
        <w:numPr>
          <w:ilvl w:val="0"/>
          <w:numId w:val="3"/>
        </w:numPr>
        <w:rPr>
          <w:rFonts w:ascii="Aptos" w:hAnsi="Aptos"/>
        </w:rPr>
      </w:pPr>
      <w:r w:rsidRPr="00C33D86">
        <w:rPr>
          <w:rFonts w:ascii="Aptos" w:hAnsi="Aptos"/>
        </w:rPr>
        <w:t xml:space="preserve">Provide Client with access to the required endpoint agent(s), as necessary </w:t>
      </w:r>
    </w:p>
    <w:p w14:paraId="37F54AA5" w14:textId="77777777" w:rsidR="00291E4F" w:rsidRDefault="00291E4F" w:rsidP="00C33D86">
      <w:pPr>
        <w:pStyle w:val="ListParagraph"/>
        <w:numPr>
          <w:ilvl w:val="0"/>
          <w:numId w:val="3"/>
        </w:numPr>
        <w:rPr>
          <w:kern w:val="0"/>
          <w:szCs w:val="20"/>
          <w14:ligatures w14:val="none"/>
        </w:rPr>
      </w:pPr>
      <w:bookmarkStart w:id="18" w:name="_Toc232428841"/>
      <w:r>
        <w:rPr>
          <w:rFonts w:ascii="Aptos" w:hAnsi="Aptos"/>
        </w:rPr>
        <w:t>Where Client has an existing EDR solution from another vendor to be included in the Services, Client will provide PacketWatch with appropriate access necessary for PacketWatch to provide the Services.</w:t>
      </w:r>
    </w:p>
    <w:p w14:paraId="55B750CB" w14:textId="77777777" w:rsidR="00C23767" w:rsidRPr="00E66AB8" w:rsidRDefault="005A7438" w:rsidP="00113465">
      <w:pPr>
        <w:pStyle w:val="Heading3"/>
        <w:ind w:left="90"/>
        <w:rPr>
          <w:rFonts w:asciiTheme="minorHAnsi" w:hAnsiTheme="minorHAnsi"/>
        </w:rPr>
      </w:pPr>
      <w:bookmarkStart w:id="19" w:name="_Toc232497712"/>
      <w:r w:rsidRPr="00E66AB8">
        <w:rPr>
          <w:rFonts w:asciiTheme="minorHAnsi" w:hAnsiTheme="minorHAnsi"/>
        </w:rPr>
        <w:t>Agent Rollout Assistance</w:t>
      </w:r>
      <w:bookmarkEnd w:id="18"/>
      <w:bookmarkEnd w:id="19"/>
      <w:r w:rsidRPr="00E66AB8">
        <w:rPr>
          <w:rFonts w:asciiTheme="minorHAnsi" w:hAnsiTheme="minorHAnsi"/>
          <w:color w:val="000000"/>
        </w:rPr>
        <w:t xml:space="preserve"> </w:t>
      </w:r>
    </w:p>
    <w:p w14:paraId="1B5E0C00" w14:textId="77777777" w:rsidR="00383A19" w:rsidRDefault="00383A19" w:rsidP="00113465">
      <w:pPr>
        <w:spacing w:after="199"/>
        <w:ind w:left="90" w:right="25"/>
        <w:rPr>
          <w:kern w:val="0"/>
          <w:szCs w:val="20"/>
          <w14:ligatures w14:val="none"/>
        </w:rPr>
      </w:pPr>
      <w:r>
        <w:rPr>
          <w:rFonts w:ascii="Aptos" w:hAnsi="Aptos"/>
        </w:rPr>
        <w:t>Where Client has procured CrowdStrike licenses from PacketWatch, PacketWatch will advise and assist Client with the process of deploying endpoint agents and troubleshooting installation and configuration issues supported by PacketWatch and the EDR software service.</w:t>
      </w:r>
    </w:p>
    <w:p w14:paraId="5CBA58AE" w14:textId="77777777" w:rsidR="00243B9A" w:rsidRDefault="00243B9A">
      <w:pPr>
        <w:spacing w:after="21" w:line="256" w:lineRule="auto"/>
        <w:ind w:left="90" w:right="25"/>
        <w:rPr>
          <w:kern w:val="0"/>
          <w:szCs w:val="20"/>
          <w14:ligatures w14:val="none"/>
        </w:rPr>
      </w:pPr>
      <w:r>
        <w:rPr>
          <w:rFonts w:ascii="Aptos" w:hAnsi="Aptos"/>
        </w:rPr>
        <w:t>The following activities are included in the Services:</w:t>
      </w:r>
    </w:p>
    <w:p w14:paraId="3F431B38" w14:textId="77777777" w:rsidR="00C23767" w:rsidRPr="00C33D86" w:rsidRDefault="005A7438" w:rsidP="00C33D86">
      <w:pPr>
        <w:pStyle w:val="ListParagraph"/>
        <w:numPr>
          <w:ilvl w:val="0"/>
          <w:numId w:val="3"/>
        </w:numPr>
        <w:rPr>
          <w:rFonts w:ascii="Aptos" w:hAnsi="Aptos"/>
        </w:rPr>
      </w:pPr>
      <w:r w:rsidRPr="00C33D86">
        <w:rPr>
          <w:rFonts w:ascii="Aptos" w:hAnsi="Aptos"/>
        </w:rPr>
        <w:t xml:space="preserve">Assistance with obtaining </w:t>
      </w:r>
      <w:proofErr w:type="gramStart"/>
      <w:r w:rsidRPr="00C33D86">
        <w:rPr>
          <w:rFonts w:ascii="Aptos" w:hAnsi="Aptos"/>
        </w:rPr>
        <w:t>the CID</w:t>
      </w:r>
      <w:proofErr w:type="gramEnd"/>
      <w:r w:rsidRPr="00C33D86">
        <w:rPr>
          <w:rFonts w:ascii="Aptos" w:hAnsi="Aptos"/>
        </w:rPr>
        <w:t xml:space="preserve">, agents, and deployment packages </w:t>
      </w:r>
    </w:p>
    <w:p w14:paraId="540D3AEA" w14:textId="77777777" w:rsidR="00C33D86" w:rsidRPr="00C33D86" w:rsidRDefault="00C33D86" w:rsidP="00C33D86">
      <w:pPr>
        <w:pStyle w:val="ListParagraph"/>
        <w:numPr>
          <w:ilvl w:val="0"/>
          <w:numId w:val="3"/>
        </w:numPr>
        <w:rPr>
          <w:rFonts w:ascii="Aptos" w:hAnsi="Aptos"/>
        </w:rPr>
      </w:pPr>
      <w:r w:rsidRPr="00C33D86">
        <w:rPr>
          <w:rFonts w:ascii="Aptos" w:hAnsi="Aptos"/>
        </w:rPr>
        <w:t>Assistance with resolving deployment errors shown in the EDR console or logs</w:t>
      </w:r>
    </w:p>
    <w:p w14:paraId="64A5A92C" w14:textId="77777777" w:rsidR="00D6609D" w:rsidRPr="00C33D86" w:rsidRDefault="00D6609D" w:rsidP="00C33D86">
      <w:pPr>
        <w:pStyle w:val="ListParagraph"/>
        <w:numPr>
          <w:ilvl w:val="0"/>
          <w:numId w:val="3"/>
        </w:numPr>
        <w:rPr>
          <w:rFonts w:ascii="Aptos" w:hAnsi="Aptos"/>
        </w:rPr>
      </w:pPr>
      <w:r w:rsidRPr="00C33D86">
        <w:rPr>
          <w:rFonts w:ascii="Aptos" w:hAnsi="Aptos"/>
        </w:rPr>
        <w:t xml:space="preserve">Set up </w:t>
      </w:r>
      <w:r w:rsidRPr="00D6609D">
        <w:rPr>
          <w:rFonts w:ascii="Aptos" w:hAnsi="Aptos"/>
        </w:rPr>
        <w:t>policies, groups,</w:t>
      </w:r>
      <w:r w:rsidRPr="00C33D86">
        <w:rPr>
          <w:rFonts w:ascii="Aptos" w:hAnsi="Aptos"/>
        </w:rPr>
        <w:t xml:space="preserve"> and </w:t>
      </w:r>
      <w:r w:rsidRPr="00D6609D">
        <w:rPr>
          <w:rFonts w:ascii="Aptos" w:hAnsi="Aptos"/>
        </w:rPr>
        <w:t>detection</w:t>
      </w:r>
      <w:r w:rsidRPr="00C33D86">
        <w:rPr>
          <w:rFonts w:ascii="Aptos" w:hAnsi="Aptos"/>
        </w:rPr>
        <w:t xml:space="preserve"> settings</w:t>
      </w:r>
    </w:p>
    <w:p w14:paraId="31DF3B7C" w14:textId="77777777" w:rsidR="00C23767" w:rsidRPr="00E66AB8" w:rsidRDefault="005A7438" w:rsidP="00C33D86">
      <w:pPr>
        <w:pStyle w:val="ListParagraph"/>
        <w:numPr>
          <w:ilvl w:val="0"/>
          <w:numId w:val="3"/>
        </w:numPr>
        <w:rPr>
          <w:rFonts w:asciiTheme="minorHAnsi" w:hAnsiTheme="minorHAnsi"/>
        </w:rPr>
      </w:pPr>
      <w:r w:rsidRPr="00C33D86">
        <w:rPr>
          <w:rFonts w:ascii="Aptos" w:hAnsi="Aptos"/>
        </w:rPr>
        <w:t>Discuss workflows and processes; level</w:t>
      </w:r>
      <w:r w:rsidRPr="00E66AB8">
        <w:rPr>
          <w:rFonts w:asciiTheme="minorHAnsi" w:hAnsiTheme="minorHAnsi"/>
        </w:rPr>
        <w:t xml:space="preserve">-set expectations </w:t>
      </w:r>
    </w:p>
    <w:p w14:paraId="5BF9E3BB" w14:textId="77777777" w:rsidR="00C23767" w:rsidRPr="00E66AB8" w:rsidRDefault="005A7438" w:rsidP="00113465">
      <w:pPr>
        <w:pStyle w:val="Heading3"/>
        <w:ind w:left="90"/>
        <w:rPr>
          <w:rFonts w:asciiTheme="minorHAnsi" w:hAnsiTheme="minorHAnsi"/>
        </w:rPr>
      </w:pPr>
      <w:bookmarkStart w:id="20" w:name="_Toc232428842"/>
      <w:bookmarkStart w:id="21" w:name="_Toc232497713"/>
      <w:r w:rsidRPr="00E66AB8">
        <w:rPr>
          <w:rFonts w:asciiTheme="minorHAnsi" w:hAnsiTheme="minorHAnsi"/>
        </w:rPr>
        <w:t>PacketWatch Collector Deployment Assistance</w:t>
      </w:r>
      <w:bookmarkEnd w:id="20"/>
      <w:bookmarkEnd w:id="21"/>
      <w:r w:rsidRPr="00E66AB8">
        <w:rPr>
          <w:rFonts w:asciiTheme="minorHAnsi" w:hAnsiTheme="minorHAnsi"/>
          <w:color w:val="000000"/>
        </w:rPr>
        <w:t xml:space="preserve"> </w:t>
      </w:r>
    </w:p>
    <w:p w14:paraId="22F30BE5" w14:textId="77777777" w:rsidR="003777D4" w:rsidRDefault="003777D4">
      <w:pPr>
        <w:spacing w:after="199"/>
        <w:ind w:left="90" w:right="25"/>
        <w:rPr>
          <w:kern w:val="0"/>
          <w:szCs w:val="20"/>
          <w14:ligatures w14:val="none"/>
        </w:rPr>
      </w:pPr>
      <w:r>
        <w:rPr>
          <w:rFonts w:ascii="Aptos" w:hAnsi="Aptos"/>
        </w:rPr>
        <w:t>PacketWatch collector capacity and related deployment components are included only to the extent identified in the applicable Order. Collectors may be deployed as physical collectors, virtual collectors, or approved cloud-connected collectors, depending on the agreed deployment model. The applicable Order should identify the expected number and type of collectors for the deployment, and the associated sourcing model for the underlying hardware or virtual infrastructure. PacketWatch will advise and assist Client with the process of configuring and deploying PacketWatch collector(s) and troubleshooting installation and configuration. The minimum standards for supported collector deployments are described in the Technical Addendum in the exhibits section below; PacketWatch may approve equivalent or higher-performance configurations where appropriate for the deployment environment.</w:t>
      </w:r>
    </w:p>
    <w:p w14:paraId="6C86BFCA" w14:textId="77777777" w:rsidR="00243B9A" w:rsidRDefault="00243B9A">
      <w:pPr>
        <w:spacing w:after="21" w:line="256" w:lineRule="auto"/>
        <w:ind w:left="90" w:right="25"/>
        <w:rPr>
          <w:kern w:val="0"/>
          <w:szCs w:val="20"/>
          <w14:ligatures w14:val="none"/>
        </w:rPr>
      </w:pPr>
      <w:r>
        <w:rPr>
          <w:rFonts w:ascii="Aptos" w:hAnsi="Aptos"/>
        </w:rPr>
        <w:t>The following activities are included in the Services:</w:t>
      </w:r>
    </w:p>
    <w:p w14:paraId="051376DD" w14:textId="77777777" w:rsidR="00C23767" w:rsidRPr="00E66AB8" w:rsidRDefault="005A7438" w:rsidP="00113465">
      <w:pPr>
        <w:numPr>
          <w:ilvl w:val="0"/>
          <w:numId w:val="5"/>
        </w:numPr>
        <w:spacing w:line="259" w:lineRule="auto"/>
        <w:ind w:left="442" w:right="25" w:hanging="360"/>
        <w:rPr>
          <w:rFonts w:asciiTheme="minorHAnsi" w:hAnsiTheme="minorHAnsi"/>
        </w:rPr>
      </w:pPr>
      <w:r w:rsidRPr="00E66AB8">
        <w:rPr>
          <w:rFonts w:asciiTheme="minorHAnsi" w:hAnsiTheme="minorHAnsi"/>
        </w:rPr>
        <w:t xml:space="preserve">Remote assistance with collector installation and configuration </w:t>
      </w:r>
    </w:p>
    <w:p w14:paraId="56C3AF76" w14:textId="77777777" w:rsidR="00C23767" w:rsidRPr="00E66AB8" w:rsidRDefault="005A7438" w:rsidP="00113465">
      <w:pPr>
        <w:numPr>
          <w:ilvl w:val="0"/>
          <w:numId w:val="5"/>
        </w:numPr>
        <w:spacing w:line="259" w:lineRule="auto"/>
        <w:ind w:left="442" w:right="25" w:hanging="360"/>
        <w:rPr>
          <w:rFonts w:asciiTheme="minorHAnsi" w:hAnsiTheme="minorHAnsi"/>
        </w:rPr>
      </w:pPr>
      <w:r w:rsidRPr="00E66AB8">
        <w:rPr>
          <w:rFonts w:asciiTheme="minorHAnsi" w:hAnsiTheme="minorHAnsi"/>
        </w:rPr>
        <w:t xml:space="preserve">Assistance with verifying proper packet collection </w:t>
      </w:r>
    </w:p>
    <w:p w14:paraId="2C2F1E08" w14:textId="77777777" w:rsidR="00C23767" w:rsidRPr="00E66AB8" w:rsidRDefault="005A7438" w:rsidP="00113465">
      <w:pPr>
        <w:numPr>
          <w:ilvl w:val="0"/>
          <w:numId w:val="5"/>
        </w:numPr>
        <w:spacing w:line="259" w:lineRule="auto"/>
        <w:ind w:left="442" w:right="25" w:hanging="360"/>
        <w:rPr>
          <w:rFonts w:asciiTheme="minorHAnsi" w:hAnsiTheme="minorHAnsi"/>
        </w:rPr>
      </w:pPr>
      <w:proofErr w:type="gramStart"/>
      <w:r w:rsidRPr="00E66AB8">
        <w:rPr>
          <w:rFonts w:asciiTheme="minorHAnsi" w:hAnsiTheme="minorHAnsi"/>
        </w:rPr>
        <w:t>Assistance with</w:t>
      </w:r>
      <w:proofErr w:type="gramEnd"/>
      <w:r w:rsidRPr="00E66AB8">
        <w:rPr>
          <w:rFonts w:asciiTheme="minorHAnsi" w:hAnsiTheme="minorHAnsi"/>
        </w:rPr>
        <w:t xml:space="preserve"> verifying visibility of desired network segments </w:t>
      </w:r>
    </w:p>
    <w:p w14:paraId="269FDC6B" w14:textId="77777777" w:rsidR="00C23767" w:rsidRPr="00E66AB8" w:rsidRDefault="005A7438" w:rsidP="00113465">
      <w:pPr>
        <w:numPr>
          <w:ilvl w:val="0"/>
          <w:numId w:val="5"/>
        </w:numPr>
        <w:spacing w:line="259" w:lineRule="auto"/>
        <w:ind w:left="442" w:right="25" w:hanging="360"/>
        <w:rPr>
          <w:rFonts w:asciiTheme="minorHAnsi" w:hAnsiTheme="minorHAnsi"/>
        </w:rPr>
      </w:pPr>
      <w:r w:rsidRPr="00E66AB8">
        <w:rPr>
          <w:rFonts w:asciiTheme="minorHAnsi" w:hAnsiTheme="minorHAnsi"/>
        </w:rPr>
        <w:t xml:space="preserve">Assistance with remediation of deployment errors </w:t>
      </w:r>
    </w:p>
    <w:p w14:paraId="24F2F376" w14:textId="77777777" w:rsidR="00D6609D" w:rsidRPr="00D6609D" w:rsidRDefault="00D6609D" w:rsidP="00C33D86">
      <w:pPr>
        <w:numPr>
          <w:ilvl w:val="0"/>
          <w:numId w:val="5"/>
        </w:numPr>
        <w:spacing w:line="259" w:lineRule="auto"/>
        <w:ind w:left="442" w:right="25" w:hanging="360"/>
      </w:pPr>
      <w:bookmarkStart w:id="22" w:name="_Toc232428843"/>
      <w:bookmarkStart w:id="23" w:name="_Toc232497714"/>
      <w:r w:rsidRPr="00C33D86">
        <w:rPr>
          <w:rFonts w:asciiTheme="minorHAnsi" w:hAnsiTheme="minorHAnsi"/>
        </w:rPr>
        <w:t>Set</w:t>
      </w:r>
      <w:r w:rsidRPr="00E66AB8">
        <w:t xml:space="preserve"> up </w:t>
      </w:r>
      <w:r w:rsidRPr="00D6609D">
        <w:rPr>
          <w:rFonts w:ascii="Aptos" w:hAnsi="Aptos"/>
        </w:rPr>
        <w:t>users</w:t>
      </w:r>
      <w:r w:rsidRPr="00E66AB8">
        <w:t xml:space="preserve"> and </w:t>
      </w:r>
      <w:r w:rsidRPr="00D6609D">
        <w:rPr>
          <w:rFonts w:ascii="Aptos" w:hAnsi="Aptos"/>
        </w:rPr>
        <w:t>permissions</w:t>
      </w:r>
      <w:r w:rsidRPr="00E66AB8">
        <w:t xml:space="preserve"> (where applicable)</w:t>
      </w:r>
    </w:p>
    <w:p w14:paraId="3D89D4E8" w14:textId="77777777" w:rsidR="00C23767" w:rsidRPr="00E66AB8" w:rsidRDefault="005A7438" w:rsidP="00113465">
      <w:pPr>
        <w:pStyle w:val="Heading3"/>
        <w:ind w:left="90"/>
        <w:rPr>
          <w:rFonts w:asciiTheme="minorHAnsi" w:hAnsiTheme="minorHAnsi"/>
        </w:rPr>
      </w:pPr>
      <w:r w:rsidRPr="00E66AB8">
        <w:rPr>
          <w:rFonts w:asciiTheme="minorHAnsi" w:hAnsiTheme="minorHAnsi"/>
        </w:rPr>
        <w:t>Onboarding Security Framework Assessment</w:t>
      </w:r>
      <w:bookmarkEnd w:id="22"/>
      <w:bookmarkEnd w:id="23"/>
      <w:r w:rsidRPr="00E66AB8">
        <w:rPr>
          <w:rFonts w:asciiTheme="minorHAnsi" w:hAnsiTheme="minorHAnsi"/>
          <w:color w:val="000000"/>
        </w:rPr>
        <w:t xml:space="preserve"> </w:t>
      </w:r>
    </w:p>
    <w:p w14:paraId="38AB6010" w14:textId="0D4B61C2" w:rsidR="003777D4" w:rsidRDefault="003777D4">
      <w:pPr>
        <w:spacing w:after="285"/>
        <w:ind w:left="90" w:right="25"/>
        <w:rPr>
          <w:kern w:val="0"/>
          <w:szCs w:val="20"/>
          <w14:ligatures w14:val="none"/>
        </w:rPr>
      </w:pPr>
      <w:bookmarkStart w:id="24" w:name="_Toc232428844"/>
      <w:r>
        <w:rPr>
          <w:rFonts w:ascii="Aptos" w:hAnsi="Aptos"/>
        </w:rPr>
        <w:t xml:space="preserve">If </w:t>
      </w:r>
      <w:r w:rsidR="00CE033E">
        <w:rPr>
          <w:rFonts w:ascii="Aptos" w:hAnsi="Aptos"/>
        </w:rPr>
        <w:t>so,</w:t>
      </w:r>
      <w:r>
        <w:rPr>
          <w:rFonts w:ascii="Aptos" w:hAnsi="Aptos"/>
        </w:rPr>
        <w:t xml:space="preserve"> indicated in the applicable Order, PacketWatch will perform an Onboarding Security Framework Assessment of the Client’s cybersecurity controls to document the initial state of the Client’s controls at the start of onboarding. This assessment will utilize the current version of either the CIS Critical Security Controls (CIS Controls) framework or the NIST Cybersecurity Framework (CSF), as identified in the applicable Order or otherwise agreed in writing. A PacketWatch analyst will perform the Onboarding Security Framework Assessment remotely within the first 30 days of the engagement. Results will be reviewed with Client.</w:t>
      </w:r>
    </w:p>
    <w:p w14:paraId="5E4684A3" w14:textId="77777777" w:rsidR="00383A19" w:rsidRPr="00E66AB8" w:rsidRDefault="00383A19" w:rsidP="00113465">
      <w:pPr>
        <w:pStyle w:val="Heading2"/>
        <w:ind w:left="90"/>
        <w:rPr>
          <w:rFonts w:asciiTheme="minorHAnsi" w:hAnsiTheme="minorHAnsi"/>
        </w:rPr>
      </w:pPr>
      <w:bookmarkStart w:id="25" w:name="_Toc232497715"/>
      <w:r>
        <w:rPr>
          <w:rFonts w:ascii="Aptos" w:hAnsi="Aptos"/>
        </w:rPr>
        <w:t>Signals, Alerts, and Investigations</w:t>
      </w:r>
      <w:bookmarkEnd w:id="24"/>
      <w:bookmarkEnd w:id="25"/>
      <w:r>
        <w:rPr>
          <w:rFonts w:ascii="Aptos" w:hAnsi="Aptos"/>
          <w:color w:val="000000"/>
        </w:rPr>
        <w:t xml:space="preserve"> </w:t>
      </w:r>
    </w:p>
    <w:p w14:paraId="349753C9" w14:textId="77777777" w:rsidR="00F04182" w:rsidRDefault="00F04182" w:rsidP="00113465">
      <w:pPr>
        <w:spacing w:after="199"/>
        <w:ind w:left="90" w:right="25"/>
      </w:pPr>
      <w:r>
        <w:rPr>
          <w:rFonts w:ascii="Aptos" w:hAnsi="Aptos"/>
        </w:rPr>
        <w:t>PacketWatch reviews</w:t>
      </w:r>
      <w:r w:rsidRPr="00E66AB8">
        <w:rPr>
          <w:rFonts w:asciiTheme="minorHAnsi" w:hAnsiTheme="minorHAnsi"/>
        </w:rPr>
        <w:t xml:space="preserve"> and </w:t>
      </w:r>
      <w:r>
        <w:rPr>
          <w:rFonts w:ascii="Aptos" w:hAnsi="Aptos"/>
        </w:rPr>
        <w:t>investigates</w:t>
      </w:r>
      <w:r w:rsidRPr="00E66AB8">
        <w:rPr>
          <w:rFonts w:asciiTheme="minorHAnsi" w:hAnsiTheme="minorHAnsi"/>
        </w:rPr>
        <w:t xml:space="preserve"> </w:t>
      </w:r>
      <w:r>
        <w:rPr>
          <w:rFonts w:ascii="Aptos" w:hAnsi="Aptos"/>
        </w:rPr>
        <w:t>Signals generated</w:t>
      </w:r>
      <w:r w:rsidRPr="00E66AB8">
        <w:rPr>
          <w:rFonts w:asciiTheme="minorHAnsi" w:hAnsiTheme="minorHAnsi"/>
        </w:rPr>
        <w:t xml:space="preserve"> within </w:t>
      </w:r>
      <w:proofErr w:type="spellStart"/>
      <w:r>
        <w:rPr>
          <w:rFonts w:ascii="Aptos" w:hAnsi="Aptos"/>
        </w:rPr>
        <w:t>WireSight</w:t>
      </w:r>
      <w:proofErr w:type="spellEnd"/>
      <w:r w:rsidRPr="00E66AB8">
        <w:rPr>
          <w:rFonts w:asciiTheme="minorHAnsi" w:hAnsiTheme="minorHAnsi"/>
        </w:rPr>
        <w:t xml:space="preserve"> and </w:t>
      </w:r>
      <w:r>
        <w:rPr>
          <w:rFonts w:ascii="Aptos" w:hAnsi="Aptos"/>
        </w:rPr>
        <w:t xml:space="preserve">detections generated by </w:t>
      </w:r>
      <w:r w:rsidRPr="00E66AB8">
        <w:rPr>
          <w:rFonts w:asciiTheme="minorHAnsi" w:hAnsiTheme="minorHAnsi"/>
        </w:rPr>
        <w:t xml:space="preserve">the EDR application. </w:t>
      </w:r>
      <w:r>
        <w:rPr>
          <w:rFonts w:ascii="Aptos" w:hAnsi="Aptos"/>
        </w:rPr>
        <w:t>When a Signal, EDR detection, or threat-hunting finding warrants prioritization for analyst action, PacketWatch may classify it as an Alert based on severity and urgency. Signals, Alerts, or EDR detections</w:t>
      </w:r>
      <w:r w:rsidRPr="00E66AB8">
        <w:rPr>
          <w:rFonts w:asciiTheme="minorHAnsi" w:hAnsiTheme="minorHAnsi"/>
        </w:rPr>
        <w:t xml:space="preserve"> requiring </w:t>
      </w:r>
      <w:r>
        <w:rPr>
          <w:rFonts w:ascii="Aptos" w:hAnsi="Aptos"/>
        </w:rPr>
        <w:t>deeper</w:t>
      </w:r>
      <w:r w:rsidRPr="00E66AB8">
        <w:rPr>
          <w:rFonts w:asciiTheme="minorHAnsi" w:hAnsiTheme="minorHAnsi"/>
        </w:rPr>
        <w:t xml:space="preserve"> analysis</w:t>
      </w:r>
      <w:r>
        <w:rPr>
          <w:rFonts w:ascii="Aptos" w:hAnsi="Aptos"/>
        </w:rPr>
        <w:t>,</w:t>
      </w:r>
      <w:r w:rsidRPr="00E66AB8">
        <w:rPr>
          <w:rFonts w:asciiTheme="minorHAnsi" w:hAnsiTheme="minorHAnsi"/>
        </w:rPr>
        <w:t xml:space="preserve"> as determined by PacketWatch</w:t>
      </w:r>
      <w:r>
        <w:rPr>
          <w:rFonts w:ascii="Aptos" w:hAnsi="Aptos"/>
        </w:rPr>
        <w:t>,</w:t>
      </w:r>
      <w:r w:rsidRPr="00E66AB8">
        <w:rPr>
          <w:rFonts w:asciiTheme="minorHAnsi" w:hAnsiTheme="minorHAnsi"/>
        </w:rPr>
        <w:t xml:space="preserve"> will result in the creation of an Investigation within </w:t>
      </w:r>
      <w:proofErr w:type="spellStart"/>
      <w:r>
        <w:rPr>
          <w:rFonts w:ascii="Aptos" w:hAnsi="Aptos"/>
        </w:rPr>
        <w:t>WireSight</w:t>
      </w:r>
      <w:proofErr w:type="spellEnd"/>
      <w:r>
        <w:rPr>
          <w:rFonts w:ascii="Aptos" w:hAnsi="Aptos"/>
        </w:rPr>
        <w:t>,</w:t>
      </w:r>
      <w:r w:rsidRPr="00E66AB8">
        <w:rPr>
          <w:rFonts w:asciiTheme="minorHAnsi" w:hAnsiTheme="minorHAnsi"/>
        </w:rPr>
        <w:t xml:space="preserve"> the EDR application</w:t>
      </w:r>
      <w:r>
        <w:rPr>
          <w:rFonts w:ascii="Aptos" w:hAnsi="Aptos"/>
        </w:rPr>
        <w:t>, or another agreed workflow.</w:t>
      </w:r>
      <w:r w:rsidRPr="00E66AB8">
        <w:rPr>
          <w:rFonts w:asciiTheme="minorHAnsi" w:hAnsiTheme="minorHAnsi"/>
        </w:rPr>
        <w:t xml:space="preserve"> PacketWatch will contact Client through Slack, email, or other agreed communications method if sufficient evidence is collected to deem </w:t>
      </w:r>
      <w:r>
        <w:rPr>
          <w:rFonts w:ascii="Aptos" w:hAnsi="Aptos"/>
        </w:rPr>
        <w:t>activity</w:t>
      </w:r>
      <w:r w:rsidRPr="00E66AB8">
        <w:rPr>
          <w:rFonts w:asciiTheme="minorHAnsi" w:hAnsiTheme="minorHAnsi"/>
        </w:rPr>
        <w:t xml:space="preserve"> malicious, or if PacketWatch requires further input from Client to proceed with the </w:t>
      </w:r>
      <w:r>
        <w:rPr>
          <w:rFonts w:ascii="Aptos" w:hAnsi="Aptos"/>
        </w:rPr>
        <w:t>Investigation.</w:t>
      </w:r>
    </w:p>
    <w:p w14:paraId="7F0A139B" w14:textId="77777777" w:rsidR="003777D4" w:rsidRDefault="003777D4">
      <w:pPr>
        <w:ind w:left="90" w:right="25"/>
        <w:rPr>
          <w:kern w:val="0"/>
          <w:szCs w:val="20"/>
          <w14:ligatures w14:val="none"/>
        </w:rPr>
      </w:pPr>
      <w:r>
        <w:rPr>
          <w:rFonts w:ascii="Aptos" w:hAnsi="Aptos"/>
        </w:rPr>
        <w:t>Management of the EDR application is a shared responsibility between PacketWatch and Client. Suggested tasks and responsibilities for CrowdStrike or other supported EDR licenses procured from PacketWatch are outlined in the attached RACI matrix for EDR application management (Exhibit A). Tasks and responsibilities for EDR solutions procured from another vendor will be agreed during onboarding.</w:t>
      </w:r>
    </w:p>
    <w:p w14:paraId="048DA571" w14:textId="5D2603CD" w:rsidR="00A46761" w:rsidRPr="00E66AB8" w:rsidRDefault="00A46761" w:rsidP="00113465">
      <w:pPr>
        <w:ind w:left="90" w:right="25"/>
        <w:rPr>
          <w:rFonts w:asciiTheme="minorHAnsi" w:hAnsiTheme="minorHAnsi"/>
        </w:rPr>
      </w:pPr>
      <w:r w:rsidRPr="00E66AB8">
        <w:rPr>
          <w:rFonts w:asciiTheme="minorHAnsi" w:hAnsiTheme="minorHAnsi"/>
        </w:rPr>
        <w:t>PacketWatch and Client may revise agreed roles and responsibilities from time to time, but any such changes must be documented in writing by the parties or their authorized representatives.</w:t>
      </w:r>
    </w:p>
    <w:p w14:paraId="0944636D" w14:textId="77777777" w:rsidR="00C23767" w:rsidRPr="00E66AB8" w:rsidRDefault="005A7438" w:rsidP="00113465">
      <w:pPr>
        <w:pStyle w:val="Heading3"/>
        <w:ind w:left="90"/>
        <w:rPr>
          <w:rFonts w:asciiTheme="minorHAnsi" w:hAnsiTheme="minorHAnsi"/>
        </w:rPr>
      </w:pPr>
      <w:bookmarkStart w:id="26" w:name="_Toc232428845"/>
      <w:bookmarkStart w:id="27" w:name="_Toc232497716"/>
      <w:r w:rsidRPr="00E66AB8">
        <w:rPr>
          <w:rFonts w:asciiTheme="minorHAnsi" w:hAnsiTheme="minorHAnsi"/>
        </w:rPr>
        <w:t>Threat Hunting</w:t>
      </w:r>
      <w:bookmarkEnd w:id="26"/>
      <w:bookmarkEnd w:id="27"/>
      <w:r w:rsidRPr="00E66AB8">
        <w:rPr>
          <w:rFonts w:asciiTheme="minorHAnsi" w:hAnsiTheme="minorHAnsi"/>
          <w:color w:val="000000"/>
        </w:rPr>
        <w:t xml:space="preserve"> </w:t>
      </w:r>
    </w:p>
    <w:p w14:paraId="6C43CA36" w14:textId="77777777" w:rsidR="00243B9A" w:rsidRDefault="00243B9A">
      <w:pPr>
        <w:spacing w:after="12"/>
        <w:ind w:left="90" w:right="25"/>
        <w:rPr>
          <w:kern w:val="0"/>
          <w:szCs w:val="20"/>
          <w14:ligatures w14:val="none"/>
        </w:rPr>
      </w:pPr>
      <w:bookmarkStart w:id="28" w:name="_Toc232428846"/>
      <w:r>
        <w:rPr>
          <w:rFonts w:ascii="Aptos" w:hAnsi="Aptos"/>
        </w:rPr>
        <w:t xml:space="preserve">PacketWatch conducts threat hunting activities across the Client’s covered IT environment on a periodic basis as defined in the applicable Order. If the applicable Order does not specify a cadence, PacketWatch will perform threat hunting on a periodic basis determined by PacketWatch consistent with the purchased Services. Threat hunting activities are limited to data gathered through </w:t>
      </w:r>
      <w:proofErr w:type="spellStart"/>
      <w:r>
        <w:rPr>
          <w:rFonts w:ascii="Aptos" w:hAnsi="Aptos"/>
        </w:rPr>
        <w:t>WireSight</w:t>
      </w:r>
      <w:proofErr w:type="spellEnd"/>
      <w:r>
        <w:rPr>
          <w:rFonts w:ascii="Aptos" w:hAnsi="Aptos"/>
        </w:rPr>
        <w:t xml:space="preserve"> and the EDR application, along with any other security tools agreed in advance and made available to PacketWatch. PacketWatch will inspect collected Client telemetry to identify activity such as the presence of persistence mechanisms, anomalous user activity, threat actor tactics, anomalous network communications, and anomalous application usage. Findings from threat hunting may result in the creation of a Signal, the classification of an Alert, the opening of an Investigation, and notification to Client through email, Slack, or another agreed communications method, as appropriate to the circumstances.</w:t>
      </w:r>
    </w:p>
    <w:p w14:paraId="54627BA3" w14:textId="77777777" w:rsidR="00C23767" w:rsidRPr="00E66AB8" w:rsidRDefault="005A7438" w:rsidP="00113465">
      <w:pPr>
        <w:pStyle w:val="Heading3"/>
        <w:ind w:left="90"/>
        <w:rPr>
          <w:rFonts w:asciiTheme="minorHAnsi" w:hAnsiTheme="minorHAnsi"/>
        </w:rPr>
      </w:pPr>
      <w:bookmarkStart w:id="29" w:name="_Toc232497717"/>
      <w:r w:rsidRPr="00E66AB8">
        <w:rPr>
          <w:rFonts w:asciiTheme="minorHAnsi" w:hAnsiTheme="minorHAnsi"/>
        </w:rPr>
        <w:t>Emergency Client Access</w:t>
      </w:r>
      <w:bookmarkEnd w:id="28"/>
      <w:bookmarkEnd w:id="29"/>
      <w:r w:rsidRPr="00E66AB8">
        <w:rPr>
          <w:rFonts w:asciiTheme="minorHAnsi" w:hAnsiTheme="minorHAnsi"/>
          <w:color w:val="000000"/>
        </w:rPr>
        <w:t xml:space="preserve"> </w:t>
      </w:r>
    </w:p>
    <w:p w14:paraId="3EFF9DD2" w14:textId="4FF160F1" w:rsidR="00C23767" w:rsidRPr="00E66AB8" w:rsidRDefault="005A7438" w:rsidP="00113465">
      <w:pPr>
        <w:spacing w:after="283"/>
        <w:ind w:left="90" w:right="25"/>
        <w:rPr>
          <w:rFonts w:asciiTheme="minorHAnsi" w:hAnsiTheme="minorHAnsi"/>
        </w:rPr>
      </w:pPr>
      <w:r w:rsidRPr="00E66AB8">
        <w:rPr>
          <w:rFonts w:asciiTheme="minorHAnsi" w:hAnsiTheme="minorHAnsi"/>
        </w:rPr>
        <w:t>Your assigned PacketWatch security analysts are available during normal business hours and can be contacted using your dedicated Slack workspace or other agreed contact method. Emergency access is also available on a 24x7 on-call basis at 480-444-7076</w:t>
      </w:r>
      <w:r w:rsidR="00383A19">
        <w:rPr>
          <w:rFonts w:asciiTheme="minorHAnsi" w:hAnsiTheme="minorHAnsi"/>
        </w:rPr>
        <w:t xml:space="preserve"> or </w:t>
      </w:r>
      <w:r w:rsidR="00383A19" w:rsidRPr="00383A19">
        <w:rPr>
          <w:rFonts w:asciiTheme="minorHAnsi" w:hAnsiTheme="minorHAnsi"/>
        </w:rPr>
        <w:t>1-800-864-4667</w:t>
      </w:r>
      <w:r w:rsidRPr="00E66AB8">
        <w:rPr>
          <w:rFonts w:asciiTheme="minorHAnsi" w:hAnsiTheme="minorHAnsi"/>
        </w:rPr>
        <w:t xml:space="preserve">. </w:t>
      </w:r>
    </w:p>
    <w:p w14:paraId="6F566790" w14:textId="77777777" w:rsidR="00C23767" w:rsidRPr="00E66AB8" w:rsidRDefault="005A7438" w:rsidP="00113465">
      <w:pPr>
        <w:pStyle w:val="Heading2"/>
        <w:ind w:left="90"/>
        <w:rPr>
          <w:rFonts w:asciiTheme="minorHAnsi" w:hAnsiTheme="minorHAnsi"/>
        </w:rPr>
      </w:pPr>
      <w:bookmarkStart w:id="30" w:name="_Toc232428847"/>
      <w:bookmarkStart w:id="31" w:name="_Toc232497718"/>
      <w:r w:rsidRPr="00E66AB8">
        <w:rPr>
          <w:rFonts w:asciiTheme="minorHAnsi" w:hAnsiTheme="minorHAnsi"/>
        </w:rPr>
        <w:t>Response and Remediation</w:t>
      </w:r>
      <w:bookmarkEnd w:id="30"/>
      <w:bookmarkEnd w:id="31"/>
      <w:r w:rsidRPr="00E66AB8">
        <w:rPr>
          <w:rFonts w:asciiTheme="minorHAnsi" w:hAnsiTheme="minorHAnsi"/>
          <w:color w:val="000000"/>
        </w:rPr>
        <w:t xml:space="preserve"> </w:t>
      </w:r>
    </w:p>
    <w:p w14:paraId="60CFFD31" w14:textId="77777777" w:rsidR="00C23767" w:rsidRPr="00E66AB8" w:rsidRDefault="005A7438" w:rsidP="00113465">
      <w:pPr>
        <w:pStyle w:val="Heading3"/>
        <w:ind w:left="90"/>
        <w:rPr>
          <w:rFonts w:asciiTheme="minorHAnsi" w:hAnsiTheme="minorHAnsi"/>
        </w:rPr>
      </w:pPr>
      <w:bookmarkStart w:id="32" w:name="_Toc232428848"/>
      <w:bookmarkStart w:id="33" w:name="_Toc232497719"/>
      <w:r w:rsidRPr="00E66AB8">
        <w:rPr>
          <w:rFonts w:asciiTheme="minorHAnsi" w:hAnsiTheme="minorHAnsi"/>
        </w:rPr>
        <w:t>Threat Response Actions</w:t>
      </w:r>
      <w:bookmarkEnd w:id="32"/>
      <w:bookmarkEnd w:id="33"/>
      <w:r w:rsidRPr="00E66AB8">
        <w:rPr>
          <w:rFonts w:asciiTheme="minorHAnsi" w:hAnsiTheme="minorHAnsi"/>
          <w:color w:val="000000"/>
        </w:rPr>
        <w:t xml:space="preserve"> </w:t>
      </w:r>
    </w:p>
    <w:p w14:paraId="1E45C8B2" w14:textId="77777777" w:rsidR="00243B9A" w:rsidRDefault="00243B9A">
      <w:pPr>
        <w:spacing w:after="12" w:line="326" w:lineRule="auto"/>
        <w:ind w:left="90" w:firstLine="0"/>
        <w:jc w:val="left"/>
        <w:rPr>
          <w:kern w:val="0"/>
          <w:szCs w:val="20"/>
          <w14:ligatures w14:val="none"/>
        </w:rPr>
      </w:pPr>
      <w:bookmarkStart w:id="34" w:name="_Toc232428849"/>
      <w:r>
        <w:rPr>
          <w:rFonts w:ascii="Aptos" w:hAnsi="Aptos"/>
        </w:rPr>
        <w:t xml:space="preserve">Upon Client’s authorization, PacketWatch will perform recommended threat response actions using commercially reasonable practices and </w:t>
      </w:r>
      <w:proofErr w:type="spellStart"/>
      <w:r>
        <w:rPr>
          <w:rFonts w:ascii="Aptos" w:hAnsi="Aptos"/>
        </w:rPr>
        <w:t>PacketWatch’s</w:t>
      </w:r>
      <w:proofErr w:type="spellEnd"/>
      <w:r>
        <w:rPr>
          <w:rFonts w:ascii="Aptos" w:hAnsi="Aptos"/>
        </w:rPr>
        <w:t xml:space="preserve"> professional judgment.</w:t>
      </w:r>
    </w:p>
    <w:p w14:paraId="1EF7F107" w14:textId="77777777" w:rsidR="00C23767" w:rsidRPr="00E66AB8" w:rsidRDefault="005A7438" w:rsidP="00113465">
      <w:pPr>
        <w:pStyle w:val="Heading3"/>
        <w:ind w:left="90"/>
        <w:rPr>
          <w:rFonts w:asciiTheme="minorHAnsi" w:hAnsiTheme="minorHAnsi"/>
        </w:rPr>
      </w:pPr>
      <w:bookmarkStart w:id="35" w:name="_Toc232497720"/>
      <w:r w:rsidRPr="00E66AB8">
        <w:rPr>
          <w:rFonts w:asciiTheme="minorHAnsi" w:hAnsiTheme="minorHAnsi"/>
        </w:rPr>
        <w:t>Remote Investigation / Remediation</w:t>
      </w:r>
      <w:bookmarkEnd w:id="34"/>
      <w:bookmarkEnd w:id="35"/>
      <w:r w:rsidRPr="00E66AB8">
        <w:rPr>
          <w:rFonts w:asciiTheme="minorHAnsi" w:hAnsiTheme="minorHAnsi"/>
          <w:color w:val="000000"/>
        </w:rPr>
        <w:t xml:space="preserve"> </w:t>
      </w:r>
    </w:p>
    <w:p w14:paraId="49704B1B" w14:textId="77777777" w:rsidR="003777D4" w:rsidRDefault="003777D4">
      <w:pPr>
        <w:spacing w:after="216"/>
        <w:ind w:left="90" w:right="25"/>
        <w:rPr>
          <w:kern w:val="0"/>
          <w:szCs w:val="20"/>
          <w14:ligatures w14:val="none"/>
        </w:rPr>
      </w:pPr>
      <w:r>
        <w:rPr>
          <w:rFonts w:ascii="Aptos" w:hAnsi="Aptos"/>
        </w:rPr>
        <w:t xml:space="preserve">If </w:t>
      </w:r>
      <w:proofErr w:type="gramStart"/>
      <w:r>
        <w:rPr>
          <w:rFonts w:ascii="Aptos" w:hAnsi="Aptos"/>
        </w:rPr>
        <w:t>so</w:t>
      </w:r>
      <w:proofErr w:type="gramEnd"/>
      <w:r>
        <w:rPr>
          <w:rFonts w:ascii="Aptos" w:hAnsi="Aptos"/>
        </w:rPr>
        <w:t xml:space="preserve"> indicated in the applicable Order and in the quantity stated there, PacketWatch will provide remote investigation and remediation services each month to assist Client during the applicable service term. Remote investigation and remediation </w:t>
      </w:r>
      <w:proofErr w:type="gramStart"/>
      <w:r>
        <w:rPr>
          <w:rFonts w:ascii="Aptos" w:hAnsi="Aptos"/>
        </w:rPr>
        <w:t>is</w:t>
      </w:r>
      <w:proofErr w:type="gramEnd"/>
      <w:r>
        <w:rPr>
          <w:rFonts w:ascii="Aptos" w:hAnsi="Aptos"/>
        </w:rPr>
        <w:t xml:space="preserve"> specifically limited to items determined through an Investigation to require action resulting from performance of the Services and may also include:</w:t>
      </w:r>
    </w:p>
    <w:p w14:paraId="49F3EE9E" w14:textId="77777777" w:rsidR="00C23767" w:rsidRPr="00E66AB8" w:rsidRDefault="005A7438" w:rsidP="00C33D86">
      <w:pPr>
        <w:numPr>
          <w:ilvl w:val="0"/>
          <w:numId w:val="5"/>
        </w:numPr>
        <w:spacing w:line="259" w:lineRule="auto"/>
        <w:ind w:left="442" w:right="25"/>
        <w:rPr>
          <w:rFonts w:asciiTheme="minorHAnsi" w:hAnsiTheme="minorHAnsi"/>
        </w:rPr>
      </w:pPr>
      <w:r w:rsidRPr="00E66AB8">
        <w:rPr>
          <w:rFonts w:asciiTheme="minorHAnsi" w:hAnsiTheme="minorHAnsi"/>
        </w:rPr>
        <w:t xml:space="preserve">EDR application troubleshooting and issue resolution (where purchased from PacketWatch) </w:t>
      </w:r>
    </w:p>
    <w:p w14:paraId="07241D23" w14:textId="77777777" w:rsidR="00243B9A" w:rsidRPr="00243B9A" w:rsidRDefault="00243B9A" w:rsidP="00C33D86">
      <w:pPr>
        <w:numPr>
          <w:ilvl w:val="0"/>
          <w:numId w:val="5"/>
        </w:numPr>
        <w:spacing w:line="259" w:lineRule="auto"/>
        <w:ind w:left="442" w:right="25"/>
      </w:pPr>
      <w:r w:rsidRPr="00C33D86">
        <w:rPr>
          <w:rFonts w:asciiTheme="minorHAnsi" w:hAnsiTheme="minorHAnsi"/>
        </w:rPr>
        <w:t>Client requests analyst assistance in the adjudication of alerts or data from other security</w:t>
      </w:r>
      <w:r w:rsidRPr="00243B9A">
        <w:rPr>
          <w:rFonts w:ascii="Aptos" w:hAnsi="Aptos"/>
        </w:rPr>
        <w:t xml:space="preserve"> applications outside the scope of the Services</w:t>
      </w:r>
    </w:p>
    <w:p w14:paraId="54A59CC9" w14:textId="1E721027" w:rsidR="00C23767" w:rsidRPr="00E66AB8" w:rsidRDefault="005A7438" w:rsidP="00113465">
      <w:pPr>
        <w:spacing w:after="12"/>
        <w:ind w:left="90" w:right="25"/>
        <w:rPr>
          <w:rFonts w:asciiTheme="minorHAnsi" w:hAnsiTheme="minorHAnsi"/>
        </w:rPr>
      </w:pPr>
      <w:r w:rsidRPr="00E66AB8">
        <w:rPr>
          <w:rFonts w:asciiTheme="minorHAnsi" w:hAnsiTheme="minorHAnsi"/>
        </w:rPr>
        <w:t xml:space="preserve">Should </w:t>
      </w:r>
      <w:r w:rsidR="00383A19">
        <w:rPr>
          <w:rFonts w:asciiTheme="minorHAnsi" w:hAnsiTheme="minorHAnsi"/>
        </w:rPr>
        <w:t>additional</w:t>
      </w:r>
      <w:r w:rsidRPr="00E66AB8">
        <w:rPr>
          <w:rFonts w:asciiTheme="minorHAnsi" w:hAnsiTheme="minorHAnsi"/>
        </w:rPr>
        <w:t xml:space="preserve"> hours of remote assistance be required in a month, Client can work with their PacketWatch account manager to purchase additional time. Any unused time at the end of each month of the Term of Service will be forfeited. Time for a future month within the Term of Service cannot be used before the start of that month. </w:t>
      </w:r>
    </w:p>
    <w:p w14:paraId="7B29026F" w14:textId="77777777" w:rsidR="00C23767" w:rsidRPr="00E66AB8" w:rsidRDefault="005A7438" w:rsidP="00113465">
      <w:pPr>
        <w:pStyle w:val="Heading3"/>
        <w:ind w:left="90"/>
        <w:rPr>
          <w:rFonts w:asciiTheme="minorHAnsi" w:hAnsiTheme="minorHAnsi"/>
        </w:rPr>
      </w:pPr>
      <w:bookmarkStart w:id="36" w:name="_Toc232428850"/>
      <w:bookmarkStart w:id="37" w:name="_Toc232497721"/>
      <w:r w:rsidRPr="00E66AB8">
        <w:rPr>
          <w:rFonts w:asciiTheme="minorHAnsi" w:hAnsiTheme="minorHAnsi"/>
        </w:rPr>
        <w:t>Bi-Weekly Meetings and Quarterly Executive Review</w:t>
      </w:r>
      <w:bookmarkEnd w:id="36"/>
      <w:bookmarkEnd w:id="37"/>
      <w:r w:rsidRPr="00E66AB8">
        <w:rPr>
          <w:rFonts w:asciiTheme="minorHAnsi" w:hAnsiTheme="minorHAnsi"/>
          <w:color w:val="000000"/>
        </w:rPr>
        <w:t xml:space="preserve"> </w:t>
      </w:r>
    </w:p>
    <w:p w14:paraId="20062E57" w14:textId="77777777" w:rsidR="00383A19" w:rsidRDefault="00383A19" w:rsidP="00113465">
      <w:pPr>
        <w:spacing w:after="176"/>
        <w:ind w:left="90" w:right="25"/>
        <w:rPr>
          <w:kern w:val="0"/>
          <w:szCs w:val="20"/>
          <w14:ligatures w14:val="none"/>
        </w:rPr>
      </w:pPr>
      <w:r>
        <w:rPr>
          <w:rFonts w:ascii="Aptos" w:hAnsi="Aptos"/>
        </w:rPr>
        <w:t xml:space="preserve">PacketWatch will support Client through continual improvements to Client’s security posture. PacketWatch and Client will review trends and notable activity observed within Client’s IT environment through </w:t>
      </w:r>
      <w:proofErr w:type="spellStart"/>
      <w:r>
        <w:rPr>
          <w:rFonts w:ascii="Aptos" w:hAnsi="Aptos"/>
        </w:rPr>
        <w:t>WireSight</w:t>
      </w:r>
      <w:proofErr w:type="spellEnd"/>
      <w:r>
        <w:rPr>
          <w:rFonts w:ascii="Aptos" w:hAnsi="Aptos"/>
        </w:rPr>
        <w:t xml:space="preserve"> and the EDR application and discuss recommendations on how to defend against threats and improve Client’s security posture to match business objectives. The Bi-Weekly Meetings and Quarterly Executive Review may include, without limitation:</w:t>
      </w:r>
    </w:p>
    <w:p w14:paraId="35DEF5BE" w14:textId="77777777" w:rsidR="00C23767" w:rsidRPr="00E66AB8" w:rsidRDefault="005A7438" w:rsidP="00CE033E">
      <w:pPr>
        <w:numPr>
          <w:ilvl w:val="0"/>
          <w:numId w:val="7"/>
        </w:numPr>
        <w:spacing w:line="259" w:lineRule="auto"/>
        <w:ind w:left="270" w:right="25" w:firstLine="0"/>
        <w:rPr>
          <w:rFonts w:asciiTheme="minorHAnsi" w:hAnsiTheme="minorHAnsi"/>
        </w:rPr>
      </w:pPr>
      <w:r w:rsidRPr="00E66AB8">
        <w:rPr>
          <w:rFonts w:asciiTheme="minorHAnsi" w:hAnsiTheme="minorHAnsi"/>
        </w:rPr>
        <w:t xml:space="preserve">Discuss specific and general findings since previous meeting </w:t>
      </w:r>
    </w:p>
    <w:p w14:paraId="4DAF89A1" w14:textId="77777777" w:rsidR="00C33D86" w:rsidRPr="00C33D86" w:rsidRDefault="00C33D86" w:rsidP="00CE033E">
      <w:pPr>
        <w:numPr>
          <w:ilvl w:val="0"/>
          <w:numId w:val="7"/>
        </w:numPr>
        <w:spacing w:line="259" w:lineRule="auto"/>
        <w:ind w:left="270" w:right="25" w:firstLine="0"/>
        <w:rPr>
          <w:rFonts w:asciiTheme="minorHAnsi" w:hAnsiTheme="minorHAnsi"/>
        </w:rPr>
      </w:pPr>
      <w:r w:rsidRPr="00C33D86">
        <w:rPr>
          <w:rFonts w:asciiTheme="minorHAnsi" w:hAnsiTheme="minorHAnsi"/>
        </w:rPr>
        <w:t>Define and review ongoing action plans to remediate identified threats and vulnerabilities</w:t>
      </w:r>
    </w:p>
    <w:p w14:paraId="4CD63C42" w14:textId="77777777" w:rsidR="00C23767" w:rsidRPr="00E66AB8" w:rsidRDefault="005A7438" w:rsidP="00CE033E">
      <w:pPr>
        <w:numPr>
          <w:ilvl w:val="0"/>
          <w:numId w:val="7"/>
        </w:numPr>
        <w:spacing w:line="259" w:lineRule="auto"/>
        <w:ind w:left="270" w:right="25" w:firstLine="0"/>
        <w:rPr>
          <w:rFonts w:asciiTheme="minorHAnsi" w:hAnsiTheme="minorHAnsi"/>
        </w:rPr>
      </w:pPr>
      <w:proofErr w:type="gramStart"/>
      <w:r w:rsidRPr="00E66AB8">
        <w:rPr>
          <w:rFonts w:asciiTheme="minorHAnsi" w:hAnsiTheme="minorHAnsi"/>
        </w:rPr>
        <w:t>Review</w:t>
      </w:r>
      <w:proofErr w:type="gramEnd"/>
      <w:r w:rsidRPr="00E66AB8">
        <w:rPr>
          <w:rFonts w:asciiTheme="minorHAnsi" w:hAnsiTheme="minorHAnsi"/>
        </w:rPr>
        <w:t xml:space="preserve"> current threat landscape and relevant threat actor activity </w:t>
      </w:r>
    </w:p>
    <w:p w14:paraId="51D298E0" w14:textId="77777777" w:rsidR="00C23767" w:rsidRPr="00E66AB8" w:rsidRDefault="005A7438" w:rsidP="00CE033E">
      <w:pPr>
        <w:numPr>
          <w:ilvl w:val="0"/>
          <w:numId w:val="7"/>
        </w:numPr>
        <w:spacing w:after="8" w:line="259" w:lineRule="auto"/>
        <w:ind w:left="270" w:right="25" w:firstLine="0"/>
        <w:rPr>
          <w:rFonts w:asciiTheme="minorHAnsi" w:hAnsiTheme="minorHAnsi"/>
        </w:rPr>
      </w:pPr>
      <w:r w:rsidRPr="00E66AB8">
        <w:rPr>
          <w:rFonts w:asciiTheme="minorHAnsi" w:hAnsiTheme="minorHAnsi"/>
        </w:rPr>
        <w:t xml:space="preserve">Review risk profile and provide security posture guidance </w:t>
      </w:r>
    </w:p>
    <w:p w14:paraId="011A3300" w14:textId="77777777" w:rsidR="00C23767" w:rsidRPr="00E66AB8" w:rsidRDefault="005A7438" w:rsidP="00113465">
      <w:pPr>
        <w:pStyle w:val="Heading2"/>
        <w:ind w:left="90"/>
        <w:rPr>
          <w:rFonts w:asciiTheme="minorHAnsi" w:hAnsiTheme="minorHAnsi"/>
        </w:rPr>
      </w:pPr>
      <w:bookmarkStart w:id="38" w:name="_Toc232428851"/>
      <w:bookmarkStart w:id="39" w:name="_Toc232497722"/>
      <w:r w:rsidRPr="00E66AB8">
        <w:rPr>
          <w:rFonts w:asciiTheme="minorHAnsi" w:hAnsiTheme="minorHAnsi"/>
        </w:rPr>
        <w:t>Incident Response</w:t>
      </w:r>
      <w:bookmarkEnd w:id="38"/>
      <w:bookmarkEnd w:id="39"/>
      <w:r w:rsidRPr="00E66AB8">
        <w:rPr>
          <w:rFonts w:asciiTheme="minorHAnsi" w:hAnsiTheme="minorHAnsi"/>
          <w:color w:val="000000"/>
        </w:rPr>
        <w:t xml:space="preserve"> </w:t>
      </w:r>
    </w:p>
    <w:p w14:paraId="75165E22" w14:textId="77777777" w:rsidR="00243B9A" w:rsidRDefault="00243B9A">
      <w:pPr>
        <w:spacing w:after="9"/>
        <w:ind w:left="90" w:right="25"/>
        <w:rPr>
          <w:kern w:val="0"/>
          <w:szCs w:val="20"/>
          <w14:ligatures w14:val="none"/>
        </w:rPr>
      </w:pPr>
      <w:bookmarkStart w:id="40" w:name="_Toc232428852"/>
      <w:r>
        <w:rPr>
          <w:rFonts w:ascii="Aptos" w:hAnsi="Aptos"/>
        </w:rPr>
        <w:t>Upon determination by the PacketWatch security analyst that a Covered Security Incident has occurred, and after notification has been provided to Client, the following remote incident response components will be performed:</w:t>
      </w:r>
    </w:p>
    <w:p w14:paraId="4FD39B27" w14:textId="77777777" w:rsidR="00C23767" w:rsidRPr="00E66AB8" w:rsidRDefault="005A7438" w:rsidP="00113465">
      <w:pPr>
        <w:pStyle w:val="Heading3"/>
        <w:ind w:left="90"/>
        <w:rPr>
          <w:rFonts w:asciiTheme="minorHAnsi" w:hAnsiTheme="minorHAnsi"/>
        </w:rPr>
      </w:pPr>
      <w:bookmarkStart w:id="41" w:name="_Toc232497723"/>
      <w:r w:rsidRPr="00E66AB8">
        <w:rPr>
          <w:rFonts w:asciiTheme="minorHAnsi" w:hAnsiTheme="minorHAnsi"/>
        </w:rPr>
        <w:t>PacketWatch Professional Services Limited-Service Warranty</w:t>
      </w:r>
      <w:bookmarkEnd w:id="40"/>
      <w:bookmarkEnd w:id="41"/>
      <w:r w:rsidRPr="00E66AB8">
        <w:rPr>
          <w:rFonts w:asciiTheme="minorHAnsi" w:hAnsiTheme="minorHAnsi"/>
          <w:color w:val="000000"/>
        </w:rPr>
        <w:t xml:space="preserve"> </w:t>
      </w:r>
    </w:p>
    <w:p w14:paraId="01F753D5" w14:textId="77777777" w:rsidR="00243B9A" w:rsidRDefault="00243B9A">
      <w:pPr>
        <w:spacing w:after="62" w:line="254" w:lineRule="auto"/>
        <w:ind w:left="90" w:right="25"/>
        <w:rPr>
          <w:kern w:val="0"/>
          <w:szCs w:val="20"/>
          <w14:ligatures w14:val="none"/>
        </w:rPr>
      </w:pPr>
      <w:r>
        <w:rPr>
          <w:rFonts w:ascii="Aptos" w:hAnsi="Aptos"/>
        </w:rPr>
        <w:t xml:space="preserve">If </w:t>
      </w:r>
      <w:proofErr w:type="gramStart"/>
      <w:r>
        <w:rPr>
          <w:rFonts w:ascii="Aptos" w:hAnsi="Aptos"/>
        </w:rPr>
        <w:t>so</w:t>
      </w:r>
      <w:proofErr w:type="gramEnd"/>
      <w:r>
        <w:rPr>
          <w:rFonts w:ascii="Aptos" w:hAnsi="Aptos"/>
        </w:rPr>
        <w:t xml:space="preserve"> indicated in the applicable Order for qualifying Clients, PacketWatch will provide up to 40 hours (or, for Tier 2 Clients, up to 100 hours) of Incident Response Services under the PacketWatch Professional Services Limited-Service Warranty. The PacketWatch Professional Services Limited-Service Warranty does not cover pre-existing or related security incidents. See the PacketWatch Professional Services Limited-Service Warranty Agreement for additional terms, conditions, exclusions, and limitations.</w:t>
      </w:r>
    </w:p>
    <w:p w14:paraId="254B342D" w14:textId="77777777" w:rsidR="00DF52FA" w:rsidRDefault="00DF52FA" w:rsidP="00113465">
      <w:pPr>
        <w:pStyle w:val="Heading3"/>
        <w:ind w:left="90"/>
        <w:rPr>
          <w:rFonts w:cstheme="minorBidi"/>
          <w:kern w:val="0"/>
          <w:szCs w:val="22"/>
          <w14:ligatures w14:val="none"/>
        </w:rPr>
      </w:pPr>
      <w:bookmarkStart w:id="42" w:name="_Toc232428853"/>
      <w:bookmarkStart w:id="43" w:name="_Toc232497724"/>
      <w:r>
        <w:rPr>
          <w:rFonts w:ascii="Aptos" w:hAnsi="Aptos" w:cstheme="minorBidi"/>
        </w:rPr>
        <w:t>Remote Incident Response Services (Outside of Limited-Service Warranty)</w:t>
      </w:r>
      <w:bookmarkEnd w:id="42"/>
      <w:bookmarkEnd w:id="43"/>
    </w:p>
    <w:p w14:paraId="43509F8C" w14:textId="77777777" w:rsidR="00291E4F" w:rsidRDefault="00291E4F">
      <w:pPr>
        <w:spacing w:after="58"/>
        <w:ind w:left="90" w:right="25"/>
        <w:rPr>
          <w:kern w:val="0"/>
          <w:szCs w:val="20"/>
          <w14:ligatures w14:val="none"/>
        </w:rPr>
      </w:pPr>
      <w:bookmarkStart w:id="44" w:name="_Toc232428854"/>
      <w:r>
        <w:rPr>
          <w:rFonts w:ascii="Aptos" w:hAnsi="Aptos"/>
        </w:rPr>
        <w:t>If needed during the Term of the Agreement, PacketWatch may provide prioritized remote Incident Response Services to Client under a separate SOW. The Incident Response Services described in this section are in addition to, or apply in circumstances outside, the coverage provided by the PacketWatch Professional Services Limited-Service Warranty. Unless otherwise stated in the applicable SOW or Order, such services will be provided on a time-and-materials basis at the rates set forth in the applicable SOW, Order, quote, or other written pricing communication from PacketWatch. For more information, Client may contact its PacketWatch account manager.</w:t>
      </w:r>
    </w:p>
    <w:p w14:paraId="1BDA2485" w14:textId="77777777" w:rsidR="00C23767" w:rsidRPr="00E66AB8" w:rsidRDefault="005A7438" w:rsidP="00113465">
      <w:pPr>
        <w:pStyle w:val="Heading2"/>
        <w:spacing w:after="0"/>
        <w:ind w:left="90"/>
        <w:rPr>
          <w:rFonts w:asciiTheme="minorHAnsi" w:hAnsiTheme="minorHAnsi"/>
        </w:rPr>
      </w:pPr>
      <w:bookmarkStart w:id="45" w:name="_Toc232497725"/>
      <w:r w:rsidRPr="00E66AB8">
        <w:rPr>
          <w:rFonts w:asciiTheme="minorHAnsi" w:hAnsiTheme="minorHAnsi"/>
        </w:rPr>
        <w:t>Data Storage Limitations</w:t>
      </w:r>
      <w:bookmarkEnd w:id="44"/>
      <w:bookmarkEnd w:id="45"/>
      <w:r w:rsidRPr="00E66AB8">
        <w:rPr>
          <w:rFonts w:asciiTheme="minorHAnsi" w:hAnsiTheme="minorHAnsi"/>
        </w:rPr>
        <w:t xml:space="preserve"> </w:t>
      </w:r>
    </w:p>
    <w:p w14:paraId="3BC6E263" w14:textId="77777777" w:rsidR="003777D4" w:rsidRDefault="003777D4">
      <w:pPr>
        <w:spacing w:after="0"/>
        <w:ind w:left="90" w:right="25"/>
        <w:rPr>
          <w:kern w:val="0"/>
          <w:szCs w:val="20"/>
          <w14:ligatures w14:val="none"/>
        </w:rPr>
      </w:pPr>
      <w:r>
        <w:rPr>
          <w:rFonts w:ascii="Aptos" w:hAnsi="Aptos"/>
        </w:rPr>
        <w:t xml:space="preserve">PacketWatch generally recommends sufficient licensed or configured capacity to permit at least 45 days of hosted metadata retention (longer if practical) and a minimum of 72 hours of local packet capture (PCAP) retention. </w:t>
      </w:r>
      <w:proofErr w:type="gramStart"/>
      <w:r>
        <w:rPr>
          <w:rFonts w:ascii="Aptos" w:hAnsi="Aptos"/>
        </w:rPr>
        <w:t>Client</w:t>
      </w:r>
      <w:proofErr w:type="gramEnd"/>
      <w:r>
        <w:rPr>
          <w:rFonts w:ascii="Aptos" w:hAnsi="Aptos"/>
        </w:rPr>
        <w:t xml:space="preserve"> may be subject to legal, contractual, regulatory, or internal requirements that exceed these recommendations. To the extent practicable, those requirements should be identified before the Services begin. Client remains responsible for determining whether the configured retention periods, storage levels, and data collection scope are appropriate for Client’s compliance, legal hold, business, and security requirements.</w:t>
      </w:r>
    </w:p>
    <w:p w14:paraId="47A887CB" w14:textId="3258AB7C" w:rsidR="003777D4" w:rsidRDefault="003777D4">
      <w:pPr>
        <w:spacing w:after="0"/>
        <w:ind w:left="90" w:right="25"/>
        <w:rPr>
          <w:kern w:val="0"/>
          <w:szCs w:val="20"/>
          <w14:ligatures w14:val="none"/>
        </w:rPr>
      </w:pPr>
      <w:r>
        <w:rPr>
          <w:rFonts w:ascii="Aptos" w:hAnsi="Aptos"/>
        </w:rPr>
        <w:t xml:space="preserve">Unless otherwise stated in the applicable Order or quote, the amount of Client data collected under the Services is limited to the hosted </w:t>
      </w:r>
      <w:proofErr w:type="gramStart"/>
      <w:r>
        <w:rPr>
          <w:rFonts w:ascii="Aptos" w:hAnsi="Aptos"/>
        </w:rPr>
        <w:t>metadata</w:t>
      </w:r>
      <w:proofErr w:type="gramEnd"/>
      <w:r>
        <w:rPr>
          <w:rFonts w:ascii="Aptos" w:hAnsi="Aptos"/>
        </w:rPr>
        <w:t xml:space="preserve"> storage amount and the local collector packet storage capacity identified in the applicable Order (collectively, the "Use Limits"). If Client requires additional hosted metadata storage or additional collector storage capacity, PacketWatch may offer such expanded capacity under an amendment, change order, or other written agreement that includes any applicable fees and related terms.</w:t>
      </w:r>
    </w:p>
    <w:p w14:paraId="472AC832" w14:textId="77777777" w:rsidR="00243B9A" w:rsidRDefault="00243B9A">
      <w:pPr>
        <w:spacing w:after="0"/>
        <w:ind w:left="90" w:right="25"/>
        <w:rPr>
          <w:kern w:val="0"/>
          <w:szCs w:val="20"/>
          <w14:ligatures w14:val="none"/>
        </w:rPr>
      </w:pPr>
      <w:r>
        <w:rPr>
          <w:rFonts w:ascii="Aptos" w:hAnsi="Aptos"/>
        </w:rPr>
        <w:t>If the amount of Client metadata stored in a month exceeds the applicable Use Limit for 3 (three) consecutive months, PacketWatch may notify Client of the excess usage and proposed options to address it, which may include purchasing expanded hosted metadata capacity, reducing retained data, or accepting prospectively billed overage charges at the then-current rate set forth in the applicable Order or other written pricing agreed by the parties. If the parties do not agree on expanded capacity or another resolution after notice, PacketWatch may, on a prospective basis, apply overage charges at the then-current rate if such rate is stated in the applicable Order or otherwise agreed in writing, or may reduce retained metadata or permit excess metadata to be overwritten or deleted in the ordinary operation of the Services, including through first-in, first-out (FIFO) processes.</w:t>
      </w:r>
    </w:p>
    <w:p w14:paraId="0DAF0E63" w14:textId="77777777" w:rsidR="00D6609D" w:rsidRDefault="00D6609D">
      <w:pPr>
        <w:spacing w:after="0"/>
        <w:ind w:left="90" w:right="25"/>
      </w:pPr>
      <w:r w:rsidRPr="00E66AB8">
        <w:rPr>
          <w:rFonts w:asciiTheme="minorHAnsi" w:hAnsiTheme="minorHAnsi"/>
        </w:rPr>
        <w:t xml:space="preserve">Client is encouraged to review stored metadata periodically to confirm that retained data remains appropriate for Client’s operational, legal, and compliance needs. PacketWatch may assist with that evaluation on request. If Client continues to exceed authorized metadata storage limits and the parties do not agree on expanded capacity, stored metadata </w:t>
      </w:r>
      <w:proofErr w:type="gramStart"/>
      <w:r w:rsidRPr="00E66AB8">
        <w:rPr>
          <w:rFonts w:asciiTheme="minorHAnsi" w:hAnsiTheme="minorHAnsi"/>
        </w:rPr>
        <w:t>in excess of</w:t>
      </w:r>
      <w:proofErr w:type="gramEnd"/>
      <w:r w:rsidRPr="00E66AB8">
        <w:rPr>
          <w:rFonts w:asciiTheme="minorHAnsi" w:hAnsiTheme="minorHAnsi"/>
        </w:rPr>
        <w:t xml:space="preserve"> available capacity may be overwritten or deleted in the ordinary operation of the </w:t>
      </w:r>
      <w:r>
        <w:rPr>
          <w:rFonts w:ascii="Aptos" w:hAnsi="Aptos"/>
        </w:rPr>
        <w:t>Services</w:t>
      </w:r>
      <w:r w:rsidRPr="00E66AB8">
        <w:rPr>
          <w:rFonts w:asciiTheme="minorHAnsi" w:hAnsiTheme="minorHAnsi"/>
        </w:rPr>
        <w:t>, including through first-in, first-out (FIFO) processes. This may result in retention periods shorter than Client desires, and overwritten data may not be recoverable.</w:t>
      </w:r>
    </w:p>
    <w:p w14:paraId="18A997B7" w14:textId="77777777" w:rsidR="00A46761" w:rsidRPr="00E66AB8" w:rsidRDefault="00A46761" w:rsidP="00113465">
      <w:pPr>
        <w:spacing w:after="0"/>
        <w:ind w:left="90" w:right="25"/>
        <w:rPr>
          <w:rFonts w:asciiTheme="minorHAnsi" w:hAnsiTheme="minorHAnsi"/>
        </w:rPr>
      </w:pPr>
      <w:r w:rsidRPr="00E66AB8">
        <w:rPr>
          <w:rFonts w:asciiTheme="minorHAnsi" w:hAnsiTheme="minorHAnsi"/>
        </w:rPr>
        <w:t>If Client exceeds the applicable local PCAP storage limit, PCAP data may be automatically overwritten in a first-in, first-out (FIFO) process, and overwritten data may not be recoverable. Where supported by the applicable collector configuration, PacketWatch may enable notice when PCAP storage usage exceeds a specified threshold. Exceeding the available local PCAP capacity may result in retention periods shorter than Client desires.</w:t>
      </w:r>
    </w:p>
    <w:p w14:paraId="64EEDD17" w14:textId="77777777" w:rsidR="00C23767" w:rsidRPr="00E66AB8" w:rsidRDefault="005A7438" w:rsidP="00113465">
      <w:pPr>
        <w:pStyle w:val="Heading2"/>
        <w:spacing w:after="0"/>
        <w:ind w:left="90"/>
        <w:rPr>
          <w:rFonts w:asciiTheme="minorHAnsi" w:hAnsiTheme="minorHAnsi"/>
        </w:rPr>
      </w:pPr>
      <w:bookmarkStart w:id="46" w:name="_Toc232428855"/>
      <w:bookmarkStart w:id="47" w:name="_Toc232497726"/>
      <w:r w:rsidRPr="00E66AB8">
        <w:rPr>
          <w:rFonts w:asciiTheme="minorHAnsi" w:hAnsiTheme="minorHAnsi"/>
        </w:rPr>
        <w:t>Data Storage Locations</w:t>
      </w:r>
      <w:bookmarkEnd w:id="46"/>
      <w:bookmarkEnd w:id="47"/>
      <w:r w:rsidRPr="00E66AB8">
        <w:rPr>
          <w:rFonts w:asciiTheme="minorHAnsi" w:hAnsiTheme="minorHAnsi"/>
        </w:rPr>
        <w:t xml:space="preserve"> </w:t>
      </w:r>
    </w:p>
    <w:p w14:paraId="266E34BB" w14:textId="77777777" w:rsidR="00383A19" w:rsidRDefault="00383A19" w:rsidP="00113465">
      <w:pPr>
        <w:ind w:left="90" w:right="25"/>
        <w:rPr>
          <w:kern w:val="0"/>
          <w:szCs w:val="20"/>
          <w14:ligatures w14:val="none"/>
        </w:rPr>
      </w:pPr>
      <w:r>
        <w:rPr>
          <w:rFonts w:ascii="Aptos" w:hAnsi="Aptos"/>
        </w:rPr>
        <w:t xml:space="preserve">The default cloud data storage location for </w:t>
      </w:r>
      <w:proofErr w:type="spellStart"/>
      <w:r>
        <w:rPr>
          <w:rFonts w:ascii="Aptos" w:hAnsi="Aptos"/>
        </w:rPr>
        <w:t>WireSight</w:t>
      </w:r>
      <w:proofErr w:type="spellEnd"/>
      <w:r>
        <w:rPr>
          <w:rFonts w:ascii="Aptos" w:hAnsi="Aptos"/>
        </w:rPr>
        <w:t xml:space="preserve"> is the United States unless otherwise stated in the applicable Order or otherwise made available by PacketWatch for a particular offering. Where PacketWatch offers alternative regional storage options, including for certain clients with regional or government security requirements, the elected storage location must be specified in the applicable Order. Client acknowledges that PacketWatch is based in the United States and that personal information and other data processed in connection with the Services may be transferred to and processed in the United States and other jurisdictions where PacketWatch and its service providers operate, subject to the governing agreement and applicable law.</w:t>
      </w:r>
    </w:p>
    <w:p w14:paraId="57444D9A" w14:textId="77777777" w:rsidR="00C23767" w:rsidRPr="00E66AB8" w:rsidRDefault="005A7438" w:rsidP="00113465">
      <w:pPr>
        <w:pStyle w:val="Heading2"/>
        <w:ind w:left="90"/>
        <w:rPr>
          <w:rFonts w:asciiTheme="minorHAnsi" w:hAnsiTheme="minorHAnsi"/>
        </w:rPr>
      </w:pPr>
      <w:bookmarkStart w:id="48" w:name="_Toc232428856"/>
      <w:bookmarkStart w:id="49" w:name="_Toc232497727"/>
      <w:r w:rsidRPr="00E66AB8">
        <w:rPr>
          <w:rFonts w:asciiTheme="minorHAnsi" w:hAnsiTheme="minorHAnsi"/>
        </w:rPr>
        <w:t>Service Level Agreement (SLA)</w:t>
      </w:r>
      <w:bookmarkEnd w:id="48"/>
      <w:bookmarkEnd w:id="49"/>
      <w:r w:rsidRPr="00E66AB8">
        <w:rPr>
          <w:rFonts w:asciiTheme="minorHAnsi" w:hAnsiTheme="minorHAnsi"/>
        </w:rPr>
        <w:t xml:space="preserve"> </w:t>
      </w:r>
    </w:p>
    <w:p w14:paraId="7261F265" w14:textId="77777777" w:rsidR="00C23767" w:rsidRPr="00E66AB8" w:rsidRDefault="005A7438" w:rsidP="00113465">
      <w:pPr>
        <w:pStyle w:val="Heading3"/>
        <w:ind w:left="90"/>
        <w:rPr>
          <w:rFonts w:asciiTheme="minorHAnsi" w:hAnsiTheme="minorHAnsi"/>
        </w:rPr>
      </w:pPr>
      <w:bookmarkStart w:id="50" w:name="_Toc232428857"/>
      <w:bookmarkStart w:id="51" w:name="_Toc232497728"/>
      <w:r w:rsidRPr="00E66AB8">
        <w:rPr>
          <w:rFonts w:asciiTheme="minorHAnsi" w:hAnsiTheme="minorHAnsi"/>
        </w:rPr>
        <w:t>Severity Determination</w:t>
      </w:r>
      <w:bookmarkEnd w:id="50"/>
      <w:bookmarkEnd w:id="51"/>
      <w:r w:rsidRPr="00E66AB8">
        <w:rPr>
          <w:rFonts w:asciiTheme="minorHAnsi" w:hAnsiTheme="minorHAnsi"/>
          <w:color w:val="000000"/>
        </w:rPr>
        <w:t xml:space="preserve"> </w:t>
      </w:r>
    </w:p>
    <w:p w14:paraId="03AF71D9" w14:textId="77777777" w:rsidR="00383A19" w:rsidRPr="00E66AB8" w:rsidRDefault="00383A19" w:rsidP="00113465">
      <w:pPr>
        <w:spacing w:after="9"/>
        <w:ind w:left="90" w:right="25"/>
        <w:rPr>
          <w:rFonts w:asciiTheme="minorHAnsi" w:hAnsiTheme="minorHAnsi"/>
        </w:rPr>
      </w:pPr>
      <w:r w:rsidRPr="00E66AB8">
        <w:rPr>
          <w:rFonts w:asciiTheme="minorHAnsi" w:hAnsiTheme="minorHAnsi"/>
        </w:rPr>
        <w:t xml:space="preserve">An Alert is a suspicious event discovered through a threat hunt conducted by a PacketWatch security analyst or </w:t>
      </w:r>
      <w:r>
        <w:rPr>
          <w:rFonts w:ascii="Aptos" w:hAnsi="Aptos"/>
        </w:rPr>
        <w:t xml:space="preserve">through a Signal generated by </w:t>
      </w:r>
      <w:proofErr w:type="spellStart"/>
      <w:r>
        <w:rPr>
          <w:rFonts w:ascii="Aptos" w:hAnsi="Aptos"/>
        </w:rPr>
        <w:t>WireSight</w:t>
      </w:r>
      <w:proofErr w:type="spellEnd"/>
      <w:r>
        <w:rPr>
          <w:rFonts w:ascii="Aptos" w:hAnsi="Aptos"/>
        </w:rPr>
        <w:t xml:space="preserve"> or </w:t>
      </w:r>
      <w:r w:rsidRPr="00E66AB8">
        <w:rPr>
          <w:rFonts w:asciiTheme="minorHAnsi" w:hAnsiTheme="minorHAnsi"/>
        </w:rPr>
        <w:t xml:space="preserve">a detection </w:t>
      </w:r>
      <w:r>
        <w:rPr>
          <w:rFonts w:ascii="Aptos" w:hAnsi="Aptos"/>
        </w:rPr>
        <w:t xml:space="preserve">generated by </w:t>
      </w:r>
      <w:r w:rsidRPr="00E66AB8">
        <w:rPr>
          <w:rFonts w:asciiTheme="minorHAnsi" w:hAnsiTheme="minorHAnsi"/>
        </w:rPr>
        <w:t xml:space="preserve">the EDR software service. Determining an </w:t>
      </w:r>
      <w:proofErr w:type="gramStart"/>
      <w:r w:rsidRPr="00E66AB8">
        <w:rPr>
          <w:rFonts w:asciiTheme="minorHAnsi" w:hAnsiTheme="minorHAnsi" w:cs="Arial"/>
        </w:rPr>
        <w:t>Alert’s</w:t>
      </w:r>
      <w:proofErr w:type="gramEnd"/>
      <w:r w:rsidRPr="00E66AB8">
        <w:rPr>
          <w:rFonts w:asciiTheme="minorHAnsi" w:hAnsiTheme="minorHAnsi"/>
        </w:rPr>
        <w:t xml:space="preserve"> severity by investigation allows the prioritization of response and the urgency in responding to the event. The table below sets forth the distinction of each Alert Category. </w:t>
      </w:r>
    </w:p>
    <w:p w14:paraId="2BB7B04D" w14:textId="77777777" w:rsidR="00383A19" w:rsidRPr="00E66AB8" w:rsidRDefault="00383A19" w:rsidP="00113465">
      <w:pPr>
        <w:pStyle w:val="Heading3"/>
        <w:ind w:left="90"/>
        <w:rPr>
          <w:rFonts w:asciiTheme="minorHAnsi" w:hAnsiTheme="minorHAnsi"/>
        </w:rPr>
      </w:pPr>
      <w:bookmarkStart w:id="52" w:name="_Toc232428858"/>
      <w:bookmarkStart w:id="53" w:name="_Toc232497729"/>
      <w:r w:rsidRPr="00E66AB8">
        <w:rPr>
          <w:rFonts w:asciiTheme="minorHAnsi" w:hAnsiTheme="minorHAnsi"/>
        </w:rPr>
        <w:t xml:space="preserve">PacketWatch Professional Services Alert </w:t>
      </w:r>
      <w:r>
        <w:rPr>
          <w:rFonts w:ascii="Aptos" w:hAnsi="Aptos" w:cstheme="minorBidi"/>
        </w:rPr>
        <w:t xml:space="preserve">Severity </w:t>
      </w:r>
      <w:r w:rsidRPr="00E66AB8">
        <w:rPr>
          <w:rFonts w:asciiTheme="minorHAnsi" w:hAnsiTheme="minorHAnsi"/>
        </w:rPr>
        <w:t>Categories</w:t>
      </w:r>
      <w:bookmarkEnd w:id="52"/>
      <w:bookmarkEnd w:id="53"/>
      <w:r w:rsidRPr="00E66AB8">
        <w:rPr>
          <w:rFonts w:asciiTheme="minorHAnsi" w:hAnsiTheme="minorHAnsi"/>
          <w:color w:val="000000"/>
        </w:rPr>
        <w:t xml:space="preserve"> </w:t>
      </w:r>
    </w:p>
    <w:tbl>
      <w:tblPr>
        <w:tblW w:w="9313" w:type="dxa"/>
        <w:tblInd w:w="-88"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1397"/>
        <w:gridCol w:w="3725"/>
        <w:gridCol w:w="4191"/>
      </w:tblGrid>
      <w:tr w:rsidR="00F82EBC" w14:paraId="27DF9C95" w14:textId="77777777" w:rsidTr="00113465">
        <w:tc>
          <w:tcPr>
            <w:tcW w:w="750" w:type="pct"/>
            <w:tcBorders>
              <w:top w:val="outset" w:sz="6" w:space="0" w:color="auto"/>
              <w:left w:val="outset" w:sz="6" w:space="0" w:color="auto"/>
              <w:bottom w:val="outset" w:sz="6" w:space="0" w:color="auto"/>
              <w:right w:val="outset" w:sz="6" w:space="0" w:color="auto"/>
            </w:tcBorders>
            <w:shd w:val="clear" w:color="auto" w:fill="006EC0"/>
            <w:vAlign w:val="center"/>
            <w:hideMark/>
          </w:tcPr>
          <w:p w14:paraId="1E681447" w14:textId="77777777" w:rsidR="00F82EBC" w:rsidRPr="00346779" w:rsidRDefault="00F82EBC" w:rsidP="00113465">
            <w:pPr>
              <w:spacing w:after="0"/>
              <w:ind w:left="90" w:firstLine="0"/>
              <w:jc w:val="center"/>
              <w:rPr>
                <w:rFonts w:asciiTheme="minorHAnsi" w:hAnsiTheme="minorHAnsi"/>
                <w:kern w:val="0"/>
                <w:szCs w:val="20"/>
                <w14:ligatures w14:val="none"/>
              </w:rPr>
            </w:pPr>
            <w:r w:rsidRPr="00346779">
              <w:rPr>
                <w:rFonts w:asciiTheme="minorHAnsi" w:hAnsiTheme="minorHAnsi"/>
                <w:b/>
                <w:bCs/>
                <w:color w:val="FFFFFF"/>
              </w:rPr>
              <w:t>Priority</w:t>
            </w:r>
          </w:p>
        </w:tc>
        <w:tc>
          <w:tcPr>
            <w:tcW w:w="2000" w:type="pct"/>
            <w:tcBorders>
              <w:top w:val="outset" w:sz="6" w:space="0" w:color="auto"/>
              <w:left w:val="outset" w:sz="6" w:space="0" w:color="auto"/>
              <w:bottom w:val="outset" w:sz="6" w:space="0" w:color="auto"/>
              <w:right w:val="outset" w:sz="6" w:space="0" w:color="auto"/>
            </w:tcBorders>
            <w:shd w:val="clear" w:color="auto" w:fill="006EC0"/>
            <w:vAlign w:val="center"/>
            <w:hideMark/>
          </w:tcPr>
          <w:p w14:paraId="19DE9A39" w14:textId="77777777" w:rsidR="00F82EBC" w:rsidRPr="00346779" w:rsidRDefault="00F82EBC" w:rsidP="00113465">
            <w:pPr>
              <w:spacing w:after="0"/>
              <w:ind w:left="90" w:firstLine="0"/>
              <w:jc w:val="center"/>
              <w:rPr>
                <w:rFonts w:asciiTheme="minorHAnsi" w:hAnsiTheme="minorHAnsi"/>
              </w:rPr>
            </w:pPr>
            <w:r w:rsidRPr="00346779">
              <w:rPr>
                <w:rFonts w:asciiTheme="minorHAnsi" w:hAnsiTheme="minorHAnsi"/>
                <w:b/>
                <w:bCs/>
                <w:color w:val="FFFFFF"/>
              </w:rPr>
              <w:t>Description</w:t>
            </w:r>
          </w:p>
        </w:tc>
        <w:tc>
          <w:tcPr>
            <w:tcW w:w="2250" w:type="pct"/>
            <w:tcBorders>
              <w:top w:val="outset" w:sz="6" w:space="0" w:color="auto"/>
              <w:left w:val="outset" w:sz="6" w:space="0" w:color="auto"/>
              <w:bottom w:val="outset" w:sz="6" w:space="0" w:color="auto"/>
              <w:right w:val="outset" w:sz="6" w:space="0" w:color="auto"/>
            </w:tcBorders>
            <w:shd w:val="clear" w:color="auto" w:fill="006EC0"/>
            <w:vAlign w:val="center"/>
            <w:hideMark/>
          </w:tcPr>
          <w:p w14:paraId="0BCF398D" w14:textId="77777777" w:rsidR="00F82EBC" w:rsidRPr="00346779" w:rsidRDefault="00F82EBC" w:rsidP="00113465">
            <w:pPr>
              <w:spacing w:after="0"/>
              <w:ind w:left="90" w:firstLine="0"/>
              <w:jc w:val="center"/>
              <w:rPr>
                <w:rFonts w:asciiTheme="minorHAnsi" w:hAnsiTheme="minorHAnsi"/>
              </w:rPr>
            </w:pPr>
            <w:r w:rsidRPr="00346779">
              <w:rPr>
                <w:rFonts w:asciiTheme="minorHAnsi" w:hAnsiTheme="minorHAnsi"/>
                <w:b/>
                <w:bCs/>
                <w:color w:val="FFFFFF"/>
              </w:rPr>
              <w:t>Examples</w:t>
            </w:r>
          </w:p>
        </w:tc>
      </w:tr>
      <w:tr w:rsidR="00F82EBC" w14:paraId="02B2EEB7"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4886C91C"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b/>
                <w:bCs/>
              </w:rPr>
              <w:t>Critical</w:t>
            </w:r>
          </w:p>
        </w:tc>
        <w:tc>
          <w:tcPr>
            <w:tcW w:w="0" w:type="auto"/>
            <w:tcBorders>
              <w:top w:val="outset" w:sz="6" w:space="0" w:color="auto"/>
              <w:left w:val="outset" w:sz="6" w:space="0" w:color="auto"/>
              <w:bottom w:val="outset" w:sz="6" w:space="0" w:color="auto"/>
              <w:right w:val="outset" w:sz="6" w:space="0" w:color="auto"/>
            </w:tcBorders>
            <w:hideMark/>
          </w:tcPr>
          <w:p w14:paraId="75DE0DDC"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xml:space="preserve">Activity occurred in Client’s environment that was </w:t>
            </w:r>
            <w:r w:rsidRPr="00346779">
              <w:rPr>
                <w:rFonts w:asciiTheme="minorHAnsi" w:hAnsiTheme="minorHAnsi"/>
                <w:u w:val="single"/>
              </w:rPr>
              <w:t>almost certainly</w:t>
            </w:r>
            <w:r w:rsidRPr="00346779">
              <w:rPr>
                <w:rFonts w:asciiTheme="minorHAnsi" w:hAnsiTheme="minorHAnsi"/>
              </w:rPr>
              <w:t xml:space="preserve"> a malicious event. Critical Alerts require immediate response and are the highest priority.</w:t>
            </w:r>
          </w:p>
        </w:tc>
        <w:tc>
          <w:tcPr>
            <w:tcW w:w="0" w:type="auto"/>
            <w:tcBorders>
              <w:top w:val="outset" w:sz="6" w:space="0" w:color="auto"/>
              <w:left w:val="outset" w:sz="6" w:space="0" w:color="auto"/>
              <w:bottom w:val="outset" w:sz="6" w:space="0" w:color="auto"/>
              <w:right w:val="outset" w:sz="6" w:space="0" w:color="auto"/>
            </w:tcBorders>
            <w:hideMark/>
          </w:tcPr>
          <w:p w14:paraId="62C6B731"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xml:space="preserve">• Advanced or interactive </w:t>
            </w:r>
            <w:proofErr w:type="gramStart"/>
            <w:r w:rsidRPr="00346779">
              <w:rPr>
                <w:rFonts w:asciiTheme="minorHAnsi" w:hAnsiTheme="minorHAnsi"/>
              </w:rPr>
              <w:t>attacker</w:t>
            </w:r>
            <w:proofErr w:type="gramEnd"/>
          </w:p>
          <w:p w14:paraId="7C6EBFD1"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Advanced Persistent Threat (APT): nation-state threat group or advanced cyber-crime organization</w:t>
            </w:r>
          </w:p>
          <w:p w14:paraId="3FC1C025"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Data staged for exfiltration</w:t>
            </w:r>
          </w:p>
          <w:p w14:paraId="06F511A7"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Confirmed data exfiltration</w:t>
            </w:r>
          </w:p>
        </w:tc>
      </w:tr>
      <w:tr w:rsidR="00F82EBC" w14:paraId="59BB408D"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257C9B0E"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b/>
                <w:bCs/>
              </w:rPr>
              <w:t>High</w:t>
            </w:r>
          </w:p>
        </w:tc>
        <w:tc>
          <w:tcPr>
            <w:tcW w:w="0" w:type="auto"/>
            <w:tcBorders>
              <w:top w:val="outset" w:sz="6" w:space="0" w:color="auto"/>
              <w:left w:val="outset" w:sz="6" w:space="0" w:color="auto"/>
              <w:bottom w:val="outset" w:sz="6" w:space="0" w:color="auto"/>
              <w:right w:val="outset" w:sz="6" w:space="0" w:color="auto"/>
            </w:tcBorders>
            <w:hideMark/>
          </w:tcPr>
          <w:p w14:paraId="385520E2"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xml:space="preserve">Activity occurred in Client’s environment that was </w:t>
            </w:r>
            <w:r w:rsidRPr="00346779">
              <w:rPr>
                <w:rFonts w:asciiTheme="minorHAnsi" w:hAnsiTheme="minorHAnsi"/>
                <w:u w:val="single"/>
              </w:rPr>
              <w:t>most likely</w:t>
            </w:r>
            <w:r w:rsidRPr="00346779">
              <w:rPr>
                <w:rFonts w:asciiTheme="minorHAnsi" w:hAnsiTheme="minorHAnsi"/>
              </w:rPr>
              <w:t xml:space="preserve"> a malicious event and should be prioritized for analyst review.</w:t>
            </w:r>
          </w:p>
        </w:tc>
        <w:tc>
          <w:tcPr>
            <w:tcW w:w="0" w:type="auto"/>
            <w:tcBorders>
              <w:top w:val="outset" w:sz="6" w:space="0" w:color="auto"/>
              <w:left w:val="outset" w:sz="6" w:space="0" w:color="auto"/>
              <w:bottom w:val="outset" w:sz="6" w:space="0" w:color="auto"/>
              <w:right w:val="outset" w:sz="6" w:space="0" w:color="auto"/>
            </w:tcBorders>
            <w:hideMark/>
          </w:tcPr>
          <w:p w14:paraId="34DB62CE" w14:textId="0898F85C" w:rsidR="00F82EBC" w:rsidRPr="00346779" w:rsidRDefault="00F82EBC" w:rsidP="00113465">
            <w:pPr>
              <w:spacing w:after="0"/>
              <w:ind w:left="90" w:firstLine="0"/>
              <w:jc w:val="left"/>
              <w:rPr>
                <w:rFonts w:asciiTheme="minorHAnsi" w:hAnsiTheme="minorHAnsi"/>
              </w:rPr>
            </w:pPr>
            <w:r w:rsidRPr="00346779">
              <w:rPr>
                <w:rFonts w:asciiTheme="minorHAnsi" w:hAnsiTheme="minorHAnsi"/>
              </w:rPr>
              <w:t>• High-confidence intelligence-driven detections</w:t>
            </w:r>
          </w:p>
          <w:p w14:paraId="5F6A5778"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High-confidence intelligence-driven Signals or detections associated with command line activity spawned by a suspicious process</w:t>
            </w:r>
          </w:p>
          <w:p w14:paraId="0DAA803F"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Web exploits</w:t>
            </w:r>
          </w:p>
          <w:p w14:paraId="6106A8B5"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Privilege escalation</w:t>
            </w:r>
          </w:p>
          <w:p w14:paraId="57830DF4"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Credential theft</w:t>
            </w:r>
          </w:p>
        </w:tc>
      </w:tr>
      <w:tr w:rsidR="00F82EBC" w14:paraId="6BDA6547"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7FA8452C"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b/>
                <w:bCs/>
              </w:rPr>
              <w:t>Medium</w:t>
            </w:r>
          </w:p>
        </w:tc>
        <w:tc>
          <w:tcPr>
            <w:tcW w:w="0" w:type="auto"/>
            <w:tcBorders>
              <w:top w:val="outset" w:sz="6" w:space="0" w:color="auto"/>
              <w:left w:val="outset" w:sz="6" w:space="0" w:color="auto"/>
              <w:bottom w:val="outset" w:sz="6" w:space="0" w:color="auto"/>
              <w:right w:val="outset" w:sz="6" w:space="0" w:color="auto"/>
            </w:tcBorders>
            <w:hideMark/>
          </w:tcPr>
          <w:p w14:paraId="7572B506"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xml:space="preserve">Activity occurred in Client’s environment that </w:t>
            </w:r>
            <w:r w:rsidRPr="00346779">
              <w:rPr>
                <w:rFonts w:asciiTheme="minorHAnsi" w:hAnsiTheme="minorHAnsi"/>
                <w:u w:val="single"/>
              </w:rPr>
              <w:t>may be</w:t>
            </w:r>
            <w:r w:rsidRPr="00346779">
              <w:rPr>
                <w:rFonts w:asciiTheme="minorHAnsi" w:hAnsiTheme="minorHAnsi"/>
              </w:rPr>
              <w:t xml:space="preserve"> a malicious event and requires analyst review.</w:t>
            </w:r>
          </w:p>
        </w:tc>
        <w:tc>
          <w:tcPr>
            <w:tcW w:w="0" w:type="auto"/>
            <w:tcBorders>
              <w:top w:val="outset" w:sz="6" w:space="0" w:color="auto"/>
              <w:left w:val="outset" w:sz="6" w:space="0" w:color="auto"/>
              <w:bottom w:val="outset" w:sz="6" w:space="0" w:color="auto"/>
              <w:right w:val="outset" w:sz="6" w:space="0" w:color="auto"/>
            </w:tcBorders>
            <w:hideMark/>
          </w:tcPr>
          <w:p w14:paraId="4C9793C0"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High-confidence malicious Signal, known malware, or other strongly corroborated malicious activity</w:t>
            </w:r>
          </w:p>
          <w:p w14:paraId="6E0C0E3B"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High-confidence malicious document or binary</w:t>
            </w:r>
          </w:p>
          <w:p w14:paraId="5F8AD356"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Social engineering / phishing link clicked</w:t>
            </w:r>
          </w:p>
        </w:tc>
      </w:tr>
      <w:tr w:rsidR="00F82EBC" w14:paraId="11ACE0C5"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346C493C"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b/>
                <w:bCs/>
              </w:rPr>
              <w:t>Low</w:t>
            </w:r>
          </w:p>
        </w:tc>
        <w:tc>
          <w:tcPr>
            <w:tcW w:w="0" w:type="auto"/>
            <w:tcBorders>
              <w:top w:val="outset" w:sz="6" w:space="0" w:color="auto"/>
              <w:left w:val="outset" w:sz="6" w:space="0" w:color="auto"/>
              <w:bottom w:val="outset" w:sz="6" w:space="0" w:color="auto"/>
              <w:right w:val="outset" w:sz="6" w:space="0" w:color="auto"/>
            </w:tcBorders>
            <w:hideMark/>
          </w:tcPr>
          <w:p w14:paraId="3942409D"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xml:space="preserve">Activity occurred in Client’s environment that is </w:t>
            </w:r>
            <w:r w:rsidRPr="00346779">
              <w:rPr>
                <w:rFonts w:asciiTheme="minorHAnsi" w:hAnsiTheme="minorHAnsi"/>
                <w:u w:val="single"/>
              </w:rPr>
              <w:t>likely not malicious</w:t>
            </w:r>
            <w:r w:rsidRPr="00346779">
              <w:rPr>
                <w:rFonts w:asciiTheme="minorHAnsi" w:hAnsiTheme="minorHAnsi"/>
              </w:rPr>
              <w:t xml:space="preserve"> but still requires review by a PacketWatch security analyst.</w:t>
            </w:r>
          </w:p>
        </w:tc>
        <w:tc>
          <w:tcPr>
            <w:tcW w:w="0" w:type="auto"/>
            <w:tcBorders>
              <w:top w:val="outset" w:sz="6" w:space="0" w:color="auto"/>
              <w:left w:val="outset" w:sz="6" w:space="0" w:color="auto"/>
              <w:bottom w:val="outset" w:sz="6" w:space="0" w:color="auto"/>
              <w:right w:val="outset" w:sz="6" w:space="0" w:color="auto"/>
            </w:tcBorders>
            <w:hideMark/>
          </w:tcPr>
          <w:p w14:paraId="3DB59B41"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Lower-confidence Signal, commodity malware, adware, or other activity that is likely not malicious but still warrants review</w:t>
            </w:r>
          </w:p>
          <w:p w14:paraId="7B11ECBE"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Low-confidence malicious documents</w:t>
            </w:r>
          </w:p>
          <w:p w14:paraId="79B436F2"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Command line activity used for common administrative purposes and lateral movement or reconnaissance activity</w:t>
            </w:r>
          </w:p>
        </w:tc>
      </w:tr>
    </w:tbl>
    <w:p w14:paraId="36F4132E" w14:textId="77777777" w:rsidR="00243B9A" w:rsidRDefault="00243B9A">
      <w:pPr>
        <w:spacing w:after="0"/>
        <w:ind w:left="90" w:right="25"/>
        <w:rPr>
          <w:kern w:val="0"/>
          <w:szCs w:val="20"/>
          <w14:ligatures w14:val="none"/>
        </w:rPr>
      </w:pPr>
      <w:r>
        <w:rPr>
          <w:rFonts w:ascii="Aptos" w:hAnsi="Aptos"/>
        </w:rPr>
        <w:t xml:space="preserve">PacketWatch measures its threat response and resolution performance against several service level metrics. These metrics are service objectives only and are not warranties or guarantees. Actual performance may vary based on incident complexity, Client responsiveness, environment access, third-party tool availability, severity, scope, and other factors outside </w:t>
      </w:r>
      <w:proofErr w:type="spellStart"/>
      <w:r>
        <w:rPr>
          <w:rFonts w:ascii="Aptos" w:hAnsi="Aptos"/>
        </w:rPr>
        <w:t>PacketWatch’s</w:t>
      </w:r>
      <w:proofErr w:type="spellEnd"/>
      <w:r>
        <w:rPr>
          <w:rFonts w:ascii="Aptos" w:hAnsi="Aptos"/>
        </w:rPr>
        <w:t xml:space="preserve"> reasonable control.</w:t>
      </w:r>
    </w:p>
    <w:p w14:paraId="29433413"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3"/>
        </w:rPr>
        <w:t xml:space="preserve"> </w:t>
      </w:r>
    </w:p>
    <w:tbl>
      <w:tblPr>
        <w:tblW w:w="9357" w:type="dxa"/>
        <w:tblInd w:w="-88"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2339"/>
        <w:gridCol w:w="4211"/>
        <w:gridCol w:w="2807"/>
      </w:tblGrid>
      <w:tr w:rsidR="00F82EBC" w14:paraId="6C3EA532" w14:textId="77777777" w:rsidTr="00113465">
        <w:tc>
          <w:tcPr>
            <w:tcW w:w="1250" w:type="pct"/>
            <w:tcBorders>
              <w:top w:val="outset" w:sz="6" w:space="0" w:color="auto"/>
              <w:left w:val="outset" w:sz="6" w:space="0" w:color="auto"/>
              <w:bottom w:val="outset" w:sz="6" w:space="0" w:color="auto"/>
              <w:right w:val="outset" w:sz="6" w:space="0" w:color="auto"/>
            </w:tcBorders>
            <w:shd w:val="clear" w:color="auto" w:fill="006EC0"/>
            <w:vAlign w:val="center"/>
            <w:hideMark/>
          </w:tcPr>
          <w:p w14:paraId="4C4FAA5A" w14:textId="77777777" w:rsidR="00F82EBC" w:rsidRPr="00346779" w:rsidRDefault="00F82EBC" w:rsidP="00113465">
            <w:pPr>
              <w:spacing w:after="0"/>
              <w:ind w:left="90" w:firstLine="0"/>
              <w:jc w:val="center"/>
              <w:rPr>
                <w:rFonts w:asciiTheme="minorHAnsi" w:hAnsiTheme="minorHAnsi"/>
                <w:kern w:val="0"/>
                <w:szCs w:val="20"/>
                <w14:ligatures w14:val="none"/>
              </w:rPr>
            </w:pPr>
            <w:r w:rsidRPr="00346779">
              <w:rPr>
                <w:rFonts w:asciiTheme="minorHAnsi" w:hAnsiTheme="minorHAnsi"/>
                <w:b/>
                <w:bCs/>
                <w:color w:val="FFFFFF"/>
              </w:rPr>
              <w:t>Metric</w:t>
            </w:r>
          </w:p>
        </w:tc>
        <w:tc>
          <w:tcPr>
            <w:tcW w:w="2250" w:type="pct"/>
            <w:tcBorders>
              <w:top w:val="outset" w:sz="6" w:space="0" w:color="auto"/>
              <w:left w:val="outset" w:sz="6" w:space="0" w:color="auto"/>
              <w:bottom w:val="outset" w:sz="6" w:space="0" w:color="auto"/>
              <w:right w:val="outset" w:sz="6" w:space="0" w:color="auto"/>
            </w:tcBorders>
            <w:shd w:val="clear" w:color="auto" w:fill="006EC0"/>
            <w:vAlign w:val="center"/>
            <w:hideMark/>
          </w:tcPr>
          <w:p w14:paraId="274709A0" w14:textId="77777777" w:rsidR="00F82EBC" w:rsidRPr="00346779" w:rsidRDefault="00F82EBC" w:rsidP="00113465">
            <w:pPr>
              <w:spacing w:after="0"/>
              <w:ind w:left="90" w:firstLine="0"/>
              <w:jc w:val="center"/>
              <w:rPr>
                <w:rFonts w:asciiTheme="minorHAnsi" w:hAnsiTheme="minorHAnsi"/>
              </w:rPr>
            </w:pPr>
            <w:r w:rsidRPr="00346779">
              <w:rPr>
                <w:rFonts w:asciiTheme="minorHAnsi" w:hAnsiTheme="minorHAnsi"/>
                <w:b/>
                <w:bCs/>
                <w:color w:val="FFFFFF"/>
              </w:rPr>
              <w:t>Definition</w:t>
            </w:r>
          </w:p>
        </w:tc>
        <w:tc>
          <w:tcPr>
            <w:tcW w:w="1500" w:type="pct"/>
            <w:tcBorders>
              <w:top w:val="outset" w:sz="6" w:space="0" w:color="auto"/>
              <w:left w:val="outset" w:sz="6" w:space="0" w:color="auto"/>
              <w:bottom w:val="outset" w:sz="6" w:space="0" w:color="auto"/>
              <w:right w:val="outset" w:sz="6" w:space="0" w:color="auto"/>
            </w:tcBorders>
            <w:shd w:val="clear" w:color="auto" w:fill="006EC0"/>
            <w:vAlign w:val="center"/>
            <w:hideMark/>
          </w:tcPr>
          <w:p w14:paraId="6B490B2D" w14:textId="77777777" w:rsidR="00F82EBC" w:rsidRPr="00346779" w:rsidRDefault="00F82EBC" w:rsidP="00113465">
            <w:pPr>
              <w:spacing w:after="0"/>
              <w:ind w:left="90" w:firstLine="0"/>
              <w:jc w:val="center"/>
              <w:rPr>
                <w:rFonts w:asciiTheme="minorHAnsi" w:hAnsiTheme="minorHAnsi"/>
              </w:rPr>
            </w:pPr>
            <w:r w:rsidRPr="00346779">
              <w:rPr>
                <w:rFonts w:asciiTheme="minorHAnsi" w:hAnsiTheme="minorHAnsi"/>
                <w:b/>
                <w:bCs/>
                <w:color w:val="FFFFFF"/>
              </w:rPr>
              <w:t>Objective</w:t>
            </w:r>
          </w:p>
        </w:tc>
      </w:tr>
      <w:tr w:rsidR="00F82EBC" w14:paraId="62F45C26"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3A5465ED"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b/>
                <w:bCs/>
              </w:rPr>
              <w:t>Mean Time to React</w:t>
            </w:r>
          </w:p>
        </w:tc>
        <w:tc>
          <w:tcPr>
            <w:tcW w:w="0" w:type="auto"/>
            <w:tcBorders>
              <w:top w:val="outset" w:sz="6" w:space="0" w:color="auto"/>
              <w:left w:val="outset" w:sz="6" w:space="0" w:color="auto"/>
              <w:bottom w:val="outset" w:sz="6" w:space="0" w:color="auto"/>
              <w:right w:val="outset" w:sz="6" w:space="0" w:color="auto"/>
            </w:tcBorders>
            <w:hideMark/>
          </w:tcPr>
          <w:p w14:paraId="52D70B30"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The average amount of time measured from the time a high or critical Alert is generated or classified to the time an Investigation is created.</w:t>
            </w:r>
          </w:p>
        </w:tc>
        <w:tc>
          <w:tcPr>
            <w:tcW w:w="0" w:type="auto"/>
            <w:tcBorders>
              <w:top w:val="outset" w:sz="6" w:space="0" w:color="auto"/>
              <w:left w:val="outset" w:sz="6" w:space="0" w:color="auto"/>
              <w:bottom w:val="outset" w:sz="6" w:space="0" w:color="auto"/>
              <w:right w:val="outset" w:sz="6" w:space="0" w:color="auto"/>
            </w:tcBorders>
            <w:hideMark/>
          </w:tcPr>
          <w:p w14:paraId="1ED52554"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Business Hours - 10 minutes</w:t>
            </w:r>
          </w:p>
          <w:p w14:paraId="7205C8C7"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After Hours - 15 minutes</w:t>
            </w:r>
          </w:p>
        </w:tc>
      </w:tr>
      <w:tr w:rsidR="00F82EBC" w14:paraId="263B2A6C"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5380002F"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b/>
                <w:bCs/>
              </w:rPr>
              <w:t>Mean Time to Respond</w:t>
            </w:r>
          </w:p>
        </w:tc>
        <w:tc>
          <w:tcPr>
            <w:tcW w:w="0" w:type="auto"/>
            <w:tcBorders>
              <w:top w:val="outset" w:sz="6" w:space="0" w:color="auto"/>
              <w:left w:val="outset" w:sz="6" w:space="0" w:color="auto"/>
              <w:bottom w:val="outset" w:sz="6" w:space="0" w:color="auto"/>
              <w:right w:val="outset" w:sz="6" w:space="0" w:color="auto"/>
            </w:tcBorders>
            <w:hideMark/>
          </w:tcPr>
          <w:p w14:paraId="7093F7DE"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The average amount of time measured from the time an Investigation is initiated to the time a PacketWatch analyst provides initial incident analysis or provides a response to Client.</w:t>
            </w:r>
          </w:p>
        </w:tc>
        <w:tc>
          <w:tcPr>
            <w:tcW w:w="0" w:type="auto"/>
            <w:tcBorders>
              <w:top w:val="outset" w:sz="6" w:space="0" w:color="auto"/>
              <w:left w:val="outset" w:sz="6" w:space="0" w:color="auto"/>
              <w:bottom w:val="outset" w:sz="6" w:space="0" w:color="auto"/>
              <w:right w:val="outset" w:sz="6" w:space="0" w:color="auto"/>
            </w:tcBorders>
            <w:hideMark/>
          </w:tcPr>
          <w:p w14:paraId="7798F5F5"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b/>
                <w:bCs/>
              </w:rPr>
              <w:t>Critical / High</w:t>
            </w:r>
          </w:p>
          <w:p w14:paraId="4220B103"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Business Hours - 60 minutes</w:t>
            </w:r>
          </w:p>
          <w:p w14:paraId="7B33A76A"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After Hours - 120 minutes</w:t>
            </w:r>
          </w:p>
          <w:p w14:paraId="07AA79DC"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b/>
                <w:bCs/>
              </w:rPr>
              <w:t>Others</w:t>
            </w:r>
          </w:p>
          <w:p w14:paraId="32119310"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Business Hours - 60 minutes</w:t>
            </w:r>
          </w:p>
          <w:p w14:paraId="674391BF"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 After Hours - Next Business Day</w:t>
            </w:r>
          </w:p>
        </w:tc>
      </w:tr>
      <w:tr w:rsidR="00F82EBC" w14:paraId="7754EC8E"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46D74980"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b/>
                <w:bCs/>
              </w:rPr>
              <w:t>Mean Time to Resolve</w:t>
            </w:r>
          </w:p>
        </w:tc>
        <w:tc>
          <w:tcPr>
            <w:tcW w:w="0" w:type="auto"/>
            <w:tcBorders>
              <w:top w:val="outset" w:sz="6" w:space="0" w:color="auto"/>
              <w:left w:val="outset" w:sz="6" w:space="0" w:color="auto"/>
              <w:bottom w:val="outset" w:sz="6" w:space="0" w:color="auto"/>
              <w:right w:val="outset" w:sz="6" w:space="0" w:color="auto"/>
            </w:tcBorders>
            <w:hideMark/>
          </w:tcPr>
          <w:p w14:paraId="4C2B8C4A" w14:textId="77777777" w:rsidR="00F82EBC" w:rsidRPr="00346779" w:rsidRDefault="00F82EBC" w:rsidP="00113465">
            <w:pPr>
              <w:spacing w:after="0"/>
              <w:ind w:left="90" w:firstLine="0"/>
              <w:rPr>
                <w:rFonts w:asciiTheme="minorHAnsi" w:hAnsiTheme="minorHAnsi"/>
              </w:rPr>
            </w:pPr>
            <w:r w:rsidRPr="00346779">
              <w:rPr>
                <w:rFonts w:asciiTheme="minorHAnsi" w:hAnsiTheme="minorHAnsi"/>
              </w:rPr>
              <w:t>The average amount of time measured from the time an Investigation is created to the time that Investigation is resolved.</w:t>
            </w:r>
          </w:p>
        </w:tc>
        <w:tc>
          <w:tcPr>
            <w:tcW w:w="0" w:type="auto"/>
            <w:tcBorders>
              <w:top w:val="outset" w:sz="6" w:space="0" w:color="auto"/>
              <w:left w:val="outset" w:sz="6" w:space="0" w:color="auto"/>
              <w:bottom w:val="outset" w:sz="6" w:space="0" w:color="auto"/>
              <w:right w:val="outset" w:sz="6" w:space="0" w:color="auto"/>
            </w:tcBorders>
            <w:hideMark/>
          </w:tcPr>
          <w:p w14:paraId="3DB1D617" w14:textId="77777777" w:rsidR="00F82EBC" w:rsidRPr="00346779" w:rsidRDefault="00F82EBC" w:rsidP="00113465">
            <w:pPr>
              <w:spacing w:after="0"/>
              <w:ind w:left="90" w:firstLine="0"/>
              <w:jc w:val="left"/>
              <w:rPr>
                <w:rFonts w:asciiTheme="minorHAnsi" w:hAnsiTheme="minorHAnsi"/>
              </w:rPr>
            </w:pPr>
            <w:r w:rsidRPr="00346779">
              <w:rPr>
                <w:rFonts w:asciiTheme="minorHAnsi" w:hAnsiTheme="minorHAnsi"/>
              </w:rPr>
              <w:t>• 24-48 hours (may require Client collaboration)</w:t>
            </w:r>
          </w:p>
          <w:p w14:paraId="6A6EF6B6" w14:textId="77777777" w:rsidR="00F82EBC" w:rsidRPr="00346779" w:rsidRDefault="00F82EBC" w:rsidP="00113465">
            <w:pPr>
              <w:spacing w:after="0"/>
              <w:ind w:left="90" w:firstLine="0"/>
              <w:jc w:val="left"/>
              <w:rPr>
                <w:rFonts w:asciiTheme="minorHAnsi" w:hAnsiTheme="minorHAnsi"/>
              </w:rPr>
            </w:pPr>
            <w:r w:rsidRPr="00346779">
              <w:rPr>
                <w:rFonts w:asciiTheme="minorHAnsi" w:hAnsiTheme="minorHAnsi"/>
              </w:rPr>
              <w:t>• Alerts with Critical and High severity on endpoint devices may be immediately “Network Contained” with Client’s permission.</w:t>
            </w:r>
          </w:p>
          <w:p w14:paraId="3DFB9376" w14:textId="77777777" w:rsidR="00F82EBC" w:rsidRPr="00346779" w:rsidRDefault="00F82EBC" w:rsidP="00113465">
            <w:pPr>
              <w:spacing w:after="0"/>
              <w:ind w:left="90" w:firstLine="0"/>
              <w:jc w:val="left"/>
              <w:rPr>
                <w:rFonts w:asciiTheme="minorHAnsi" w:hAnsiTheme="minorHAnsi"/>
              </w:rPr>
            </w:pPr>
            <w:r w:rsidRPr="00346779">
              <w:rPr>
                <w:rFonts w:asciiTheme="minorHAnsi" w:hAnsiTheme="minorHAnsi"/>
              </w:rPr>
              <w:t>• Other devices, including servers, will require intervention with Client’s staff.</w:t>
            </w:r>
          </w:p>
        </w:tc>
      </w:tr>
    </w:tbl>
    <w:p w14:paraId="650A3F47" w14:textId="72FB6D7C" w:rsidR="00C23767" w:rsidRPr="00E66AB8" w:rsidRDefault="005A7438" w:rsidP="00113465">
      <w:pPr>
        <w:spacing w:after="112" w:line="259" w:lineRule="auto"/>
        <w:ind w:left="90" w:firstLine="0"/>
        <w:jc w:val="left"/>
        <w:rPr>
          <w:rFonts w:asciiTheme="minorHAnsi" w:hAnsiTheme="minorHAnsi"/>
        </w:rPr>
      </w:pPr>
      <w:r w:rsidRPr="00E66AB8">
        <w:rPr>
          <w:rFonts w:asciiTheme="minorHAnsi" w:hAnsiTheme="minorHAnsi"/>
          <w:sz w:val="24"/>
        </w:rPr>
        <w:t xml:space="preserve">  </w:t>
      </w:r>
    </w:p>
    <w:p w14:paraId="552A7C94" w14:textId="77777777" w:rsidR="00C23767" w:rsidRPr="00E66AB8" w:rsidRDefault="005A7438" w:rsidP="00113465">
      <w:pPr>
        <w:pStyle w:val="Heading2"/>
        <w:ind w:left="90"/>
        <w:rPr>
          <w:rFonts w:asciiTheme="minorHAnsi" w:hAnsiTheme="minorHAnsi"/>
        </w:rPr>
      </w:pPr>
      <w:bookmarkStart w:id="54" w:name="_Toc232428859"/>
      <w:bookmarkStart w:id="55" w:name="_Toc232497730"/>
      <w:r w:rsidRPr="00E66AB8">
        <w:rPr>
          <w:rFonts w:asciiTheme="minorHAnsi" w:hAnsiTheme="minorHAnsi"/>
        </w:rPr>
        <w:t>24 x 7 Coverage</w:t>
      </w:r>
      <w:bookmarkEnd w:id="54"/>
      <w:bookmarkEnd w:id="55"/>
      <w:r w:rsidRPr="00E66AB8">
        <w:rPr>
          <w:rFonts w:asciiTheme="minorHAnsi" w:hAnsiTheme="minorHAnsi"/>
          <w:color w:val="000000"/>
        </w:rPr>
        <w:t xml:space="preserve"> </w:t>
      </w:r>
    </w:p>
    <w:p w14:paraId="634D6351" w14:textId="77777777" w:rsidR="003777D4" w:rsidRDefault="003777D4">
      <w:pPr>
        <w:spacing w:after="178"/>
        <w:ind w:left="90" w:right="25"/>
        <w:rPr>
          <w:kern w:val="0"/>
          <w:szCs w:val="20"/>
          <w14:ligatures w14:val="none"/>
        </w:rPr>
      </w:pPr>
      <w:r>
        <w:rPr>
          <w:rFonts w:ascii="Aptos" w:hAnsi="Aptos"/>
        </w:rPr>
        <w:t xml:space="preserve">The </w:t>
      </w:r>
      <w:proofErr w:type="spellStart"/>
      <w:r>
        <w:rPr>
          <w:rFonts w:ascii="Aptos" w:hAnsi="Aptos"/>
        </w:rPr>
        <w:t>WireSight</w:t>
      </w:r>
      <w:proofErr w:type="spellEnd"/>
      <w:r>
        <w:rPr>
          <w:rFonts w:ascii="Aptos" w:hAnsi="Aptos"/>
        </w:rPr>
        <w:t xml:space="preserve"> platform monitors and analyzes collected data 24 hours a day, 7 days a week (24x7) for signs of suspicious or potentially malicious activity. </w:t>
      </w:r>
      <w:proofErr w:type="spellStart"/>
      <w:r>
        <w:rPr>
          <w:rFonts w:ascii="Aptos" w:hAnsi="Aptos"/>
        </w:rPr>
        <w:t>WireSight</w:t>
      </w:r>
      <w:proofErr w:type="spellEnd"/>
      <w:r>
        <w:rPr>
          <w:rFonts w:ascii="Aptos" w:hAnsi="Aptos"/>
        </w:rPr>
        <w:t xml:space="preserve"> generates Signals for suspicious or potentially malicious activity, and the EDR application generates detections within its own environment. After normal business hours, Signals and EDR detections are initially triaged by the on-call team. When warranted by severity and urgency, PacketWatch may classify the matter as an Alert and, where deeper analysis is required, open an Investigation. Critical Alerts are referred immediately to a designated analyst, and adjudicated critical Alerts will be </w:t>
      </w:r>
      <w:proofErr w:type="gramStart"/>
      <w:r>
        <w:rPr>
          <w:rFonts w:ascii="Aptos" w:hAnsi="Aptos"/>
        </w:rPr>
        <w:t>escalated per</w:t>
      </w:r>
      <w:proofErr w:type="gramEnd"/>
      <w:r>
        <w:rPr>
          <w:rFonts w:ascii="Aptos" w:hAnsi="Aptos"/>
        </w:rPr>
        <w:t xml:space="preserve"> approved plans. You may reach a member of the PacketWatch team 24 hours a day, 7 days a week (24x7) if needed at 480-444-7076.</w:t>
      </w:r>
    </w:p>
    <w:p w14:paraId="154D3092" w14:textId="77777777" w:rsidR="00383A19" w:rsidRDefault="00383A19" w:rsidP="00113465">
      <w:pPr>
        <w:spacing w:after="72"/>
        <w:ind w:left="90" w:right="25"/>
        <w:rPr>
          <w:kern w:val="0"/>
          <w:szCs w:val="20"/>
          <w14:ligatures w14:val="none"/>
        </w:rPr>
      </w:pPr>
      <w:r>
        <w:rPr>
          <w:rFonts w:ascii="Aptos" w:hAnsi="Aptos"/>
        </w:rPr>
        <w:t>Enhanced 24x7 services are available with CrowdStrike MSSP Complete services through PacketWatch. For more information, please contact your PacketWatch Account Manager.</w:t>
      </w:r>
    </w:p>
    <w:p w14:paraId="72682DAA" w14:textId="77777777" w:rsidR="00C23767" w:rsidRPr="00E66AB8" w:rsidRDefault="005A7438" w:rsidP="00113465">
      <w:pPr>
        <w:pStyle w:val="Heading2"/>
        <w:ind w:left="90"/>
        <w:rPr>
          <w:rFonts w:asciiTheme="minorHAnsi" w:hAnsiTheme="minorHAnsi"/>
        </w:rPr>
      </w:pPr>
      <w:bookmarkStart w:id="56" w:name="_Toc232428860"/>
      <w:bookmarkStart w:id="57" w:name="_Toc232497731"/>
      <w:r w:rsidRPr="00E66AB8">
        <w:rPr>
          <w:rFonts w:asciiTheme="minorHAnsi" w:hAnsiTheme="minorHAnsi"/>
        </w:rPr>
        <w:t>Service Expectations</w:t>
      </w:r>
      <w:bookmarkEnd w:id="56"/>
      <w:bookmarkEnd w:id="57"/>
      <w:r w:rsidRPr="00E66AB8">
        <w:rPr>
          <w:rFonts w:asciiTheme="minorHAnsi" w:hAnsiTheme="minorHAnsi"/>
          <w:b w:val="0"/>
          <w:color w:val="000000"/>
        </w:rPr>
        <w:t xml:space="preserve"> </w:t>
      </w:r>
    </w:p>
    <w:p w14:paraId="4C3A642B" w14:textId="77777777" w:rsidR="00A46761" w:rsidRPr="00E66AB8" w:rsidRDefault="00A46761" w:rsidP="00113465">
      <w:pPr>
        <w:spacing w:after="281"/>
        <w:ind w:left="90" w:right="25"/>
        <w:rPr>
          <w:rFonts w:asciiTheme="minorHAnsi" w:hAnsiTheme="minorHAnsi"/>
        </w:rPr>
      </w:pPr>
      <w:r w:rsidRPr="00E66AB8">
        <w:rPr>
          <w:rFonts w:asciiTheme="minorHAnsi" w:hAnsiTheme="minorHAnsi"/>
        </w:rPr>
        <w:t>In performing the Services, PacketWatch relies on the accuracy and completeness of the technical, operational, and business information provided by Client. PacketWatch is also dependent on timely and accurate responses to requests for additional information, access, approvals, and coordination necessary to support service delivery, investigations, and incident response activities.</w:t>
      </w:r>
    </w:p>
    <w:p w14:paraId="7B267B91" w14:textId="77777777" w:rsidR="00C23767" w:rsidRPr="00E66AB8" w:rsidRDefault="005A7438" w:rsidP="00113465">
      <w:pPr>
        <w:pStyle w:val="Heading2"/>
        <w:ind w:left="90"/>
        <w:rPr>
          <w:rFonts w:asciiTheme="minorHAnsi" w:hAnsiTheme="minorHAnsi"/>
        </w:rPr>
      </w:pPr>
      <w:bookmarkStart w:id="58" w:name="_Toc232428861"/>
      <w:bookmarkStart w:id="59" w:name="_Toc232497732"/>
      <w:r w:rsidRPr="00E66AB8">
        <w:rPr>
          <w:rFonts w:asciiTheme="minorHAnsi" w:hAnsiTheme="minorHAnsi"/>
        </w:rPr>
        <w:t>Exclusions</w:t>
      </w:r>
      <w:bookmarkEnd w:id="58"/>
      <w:bookmarkEnd w:id="59"/>
      <w:r w:rsidRPr="00E66AB8">
        <w:rPr>
          <w:rFonts w:asciiTheme="minorHAnsi" w:hAnsiTheme="minorHAnsi"/>
          <w:color w:val="000000"/>
        </w:rPr>
        <w:t xml:space="preserve"> </w:t>
      </w:r>
    </w:p>
    <w:p w14:paraId="5CECE534" w14:textId="77777777" w:rsidR="003777D4" w:rsidRDefault="003777D4">
      <w:pPr>
        <w:spacing w:after="281"/>
        <w:ind w:left="90" w:right="25"/>
        <w:rPr>
          <w:kern w:val="0"/>
          <w:szCs w:val="20"/>
          <w14:ligatures w14:val="none"/>
        </w:rPr>
      </w:pPr>
      <w:bookmarkStart w:id="60" w:name="_Toc232428862"/>
      <w:r>
        <w:rPr>
          <w:rFonts w:ascii="Aptos" w:hAnsi="Aptos"/>
        </w:rPr>
        <w:t>While the Services are intended to help Client identify and reduce risk, it is impossible to eliminate all risk. PacketWatch does not guarantee that intrusions, compromises, or other unauthorized activity will not occur within Client’s environment.</w:t>
      </w:r>
    </w:p>
    <w:p w14:paraId="7B87E443" w14:textId="77777777" w:rsidR="00C23767" w:rsidRPr="00E66AB8" w:rsidRDefault="005A7438" w:rsidP="00113465">
      <w:pPr>
        <w:pStyle w:val="Heading2"/>
        <w:ind w:left="90"/>
        <w:rPr>
          <w:rFonts w:asciiTheme="minorHAnsi" w:hAnsiTheme="minorHAnsi"/>
        </w:rPr>
      </w:pPr>
      <w:bookmarkStart w:id="61" w:name="_Toc232497733"/>
      <w:r w:rsidRPr="00E66AB8">
        <w:rPr>
          <w:rFonts w:asciiTheme="minorHAnsi" w:hAnsiTheme="minorHAnsi"/>
        </w:rPr>
        <w:t>Out of Scope</w:t>
      </w:r>
      <w:bookmarkEnd w:id="60"/>
      <w:bookmarkEnd w:id="61"/>
      <w:r w:rsidRPr="00E66AB8">
        <w:rPr>
          <w:rFonts w:asciiTheme="minorHAnsi" w:hAnsiTheme="minorHAnsi"/>
          <w:color w:val="000000"/>
        </w:rPr>
        <w:t xml:space="preserve"> </w:t>
      </w:r>
    </w:p>
    <w:p w14:paraId="274CE404" w14:textId="77777777" w:rsidR="00C23767" w:rsidRPr="00E66AB8" w:rsidRDefault="005A7438" w:rsidP="00113465">
      <w:pPr>
        <w:spacing w:after="0" w:line="259" w:lineRule="auto"/>
        <w:ind w:left="90" w:right="25"/>
        <w:rPr>
          <w:rFonts w:asciiTheme="minorHAnsi" w:hAnsiTheme="minorHAnsi"/>
        </w:rPr>
      </w:pPr>
      <w:r w:rsidRPr="00E66AB8">
        <w:rPr>
          <w:rFonts w:asciiTheme="minorHAnsi" w:hAnsiTheme="minorHAnsi"/>
        </w:rPr>
        <w:t xml:space="preserve">For clarity, the following activities are not included in the Service Description: </w:t>
      </w:r>
    </w:p>
    <w:p w14:paraId="24451908" w14:textId="77777777" w:rsidR="00C23767" w:rsidRPr="00E66AB8" w:rsidRDefault="005A7438" w:rsidP="00113465">
      <w:pPr>
        <w:numPr>
          <w:ilvl w:val="0"/>
          <w:numId w:val="8"/>
        </w:numPr>
        <w:spacing w:line="259" w:lineRule="auto"/>
        <w:ind w:left="90" w:right="25" w:firstLine="0"/>
        <w:jc w:val="left"/>
        <w:rPr>
          <w:rFonts w:asciiTheme="minorHAnsi" w:hAnsiTheme="minorHAnsi"/>
        </w:rPr>
      </w:pPr>
      <w:r w:rsidRPr="00E66AB8">
        <w:rPr>
          <w:rFonts w:asciiTheme="minorHAnsi" w:hAnsiTheme="minorHAnsi"/>
        </w:rPr>
        <w:t xml:space="preserve">Any services, tasks, or activities other than those specifically noted in this Service Description. </w:t>
      </w:r>
    </w:p>
    <w:p w14:paraId="24FFA202" w14:textId="77777777" w:rsidR="00243B9A" w:rsidRPr="00C33D86" w:rsidRDefault="00243B9A" w:rsidP="00C33D86">
      <w:pPr>
        <w:numPr>
          <w:ilvl w:val="0"/>
          <w:numId w:val="8"/>
        </w:numPr>
        <w:spacing w:line="259" w:lineRule="auto"/>
        <w:ind w:left="90" w:right="25" w:firstLine="0"/>
        <w:jc w:val="left"/>
        <w:rPr>
          <w:rFonts w:asciiTheme="minorHAnsi" w:hAnsiTheme="minorHAnsi"/>
        </w:rPr>
      </w:pPr>
      <w:r w:rsidRPr="00C33D86">
        <w:rPr>
          <w:rFonts w:asciiTheme="minorHAnsi" w:hAnsiTheme="minorHAnsi"/>
        </w:rPr>
        <w:t>The Services do not include the development of any intellectual property for Client.</w:t>
      </w:r>
    </w:p>
    <w:p w14:paraId="265D551E" w14:textId="77777777" w:rsidR="00C23767" w:rsidRPr="00E66AB8" w:rsidRDefault="005A7438" w:rsidP="00C33D86">
      <w:pPr>
        <w:numPr>
          <w:ilvl w:val="0"/>
          <w:numId w:val="8"/>
        </w:numPr>
        <w:spacing w:line="259" w:lineRule="auto"/>
        <w:ind w:left="90" w:right="25" w:firstLine="0"/>
        <w:jc w:val="left"/>
        <w:rPr>
          <w:rFonts w:asciiTheme="minorHAnsi" w:hAnsiTheme="minorHAnsi"/>
        </w:rPr>
      </w:pPr>
      <w:r w:rsidRPr="00E66AB8">
        <w:rPr>
          <w:rFonts w:asciiTheme="minorHAnsi" w:hAnsiTheme="minorHAnsi"/>
        </w:rPr>
        <w:t xml:space="preserve">Troubleshooting or fixing any existing system / application / server problems unless otherwise described in this Service Description. </w:t>
      </w:r>
    </w:p>
    <w:p w14:paraId="659723DB" w14:textId="77777777" w:rsidR="00C23767" w:rsidRPr="00E66AB8" w:rsidRDefault="005A7438" w:rsidP="00113465">
      <w:pPr>
        <w:numPr>
          <w:ilvl w:val="0"/>
          <w:numId w:val="8"/>
        </w:numPr>
        <w:spacing w:line="259" w:lineRule="auto"/>
        <w:ind w:left="90" w:right="25" w:firstLine="0"/>
        <w:jc w:val="left"/>
        <w:rPr>
          <w:rFonts w:asciiTheme="minorHAnsi" w:hAnsiTheme="minorHAnsi"/>
        </w:rPr>
      </w:pPr>
      <w:r w:rsidRPr="00E66AB8">
        <w:rPr>
          <w:rFonts w:asciiTheme="minorHAnsi" w:hAnsiTheme="minorHAnsi"/>
        </w:rPr>
        <w:t xml:space="preserve">Remediation or mitigation of any performance issues identified in the </w:t>
      </w:r>
      <w:r w:rsidRPr="00C33D86">
        <w:rPr>
          <w:rFonts w:asciiTheme="minorHAnsi" w:hAnsiTheme="minorHAnsi"/>
        </w:rPr>
        <w:t>Client’s</w:t>
      </w:r>
      <w:r w:rsidRPr="00E66AB8">
        <w:rPr>
          <w:rFonts w:asciiTheme="minorHAnsi" w:hAnsiTheme="minorHAnsi"/>
        </w:rPr>
        <w:t xml:space="preserve"> environment. </w:t>
      </w:r>
    </w:p>
    <w:p w14:paraId="72477F18" w14:textId="77777777" w:rsidR="00C23767" w:rsidRPr="00E66AB8" w:rsidRDefault="005A7438" w:rsidP="00C33D86">
      <w:pPr>
        <w:numPr>
          <w:ilvl w:val="0"/>
          <w:numId w:val="8"/>
        </w:numPr>
        <w:spacing w:line="259" w:lineRule="auto"/>
        <w:ind w:left="90" w:right="25" w:firstLine="0"/>
        <w:jc w:val="left"/>
        <w:rPr>
          <w:rFonts w:asciiTheme="minorHAnsi" w:hAnsiTheme="minorHAnsi"/>
        </w:rPr>
      </w:pPr>
      <w:r w:rsidRPr="00E66AB8">
        <w:rPr>
          <w:rFonts w:asciiTheme="minorHAnsi" w:hAnsiTheme="minorHAnsi"/>
        </w:rPr>
        <w:t xml:space="preserve">PacketWatch responsibility (including monetary responsibility) for management of any Client and/or third-party personnel, hardware, software, equipment, or other assets currently utilized in the </w:t>
      </w:r>
      <w:r w:rsidRPr="00C33D86">
        <w:rPr>
          <w:rFonts w:asciiTheme="minorHAnsi" w:hAnsiTheme="minorHAnsi"/>
        </w:rPr>
        <w:t>Client’s</w:t>
      </w:r>
      <w:r w:rsidRPr="00E66AB8">
        <w:rPr>
          <w:rFonts w:asciiTheme="minorHAnsi" w:hAnsiTheme="minorHAnsi"/>
        </w:rPr>
        <w:t xml:space="preserve"> operating environment, except as set forth in this Service Description. </w:t>
      </w:r>
    </w:p>
    <w:p w14:paraId="3BE3A332" w14:textId="77777777" w:rsidR="00C23767" w:rsidRPr="00E66AB8" w:rsidRDefault="005A7438" w:rsidP="00113465">
      <w:pPr>
        <w:numPr>
          <w:ilvl w:val="0"/>
          <w:numId w:val="8"/>
        </w:numPr>
        <w:spacing w:line="259" w:lineRule="auto"/>
        <w:ind w:left="90" w:right="25" w:firstLine="0"/>
        <w:jc w:val="left"/>
        <w:rPr>
          <w:rFonts w:asciiTheme="minorHAnsi" w:hAnsiTheme="minorHAnsi"/>
        </w:rPr>
      </w:pPr>
      <w:r w:rsidRPr="00E66AB8">
        <w:rPr>
          <w:rFonts w:asciiTheme="minorHAnsi" w:hAnsiTheme="minorHAnsi"/>
        </w:rPr>
        <w:t xml:space="preserve">Installation of the EDR Software on </w:t>
      </w:r>
      <w:r w:rsidRPr="00C33D86">
        <w:rPr>
          <w:rFonts w:asciiTheme="minorHAnsi" w:hAnsiTheme="minorHAnsi"/>
        </w:rPr>
        <w:t>Client’s</w:t>
      </w:r>
      <w:r w:rsidRPr="00E66AB8">
        <w:rPr>
          <w:rFonts w:asciiTheme="minorHAnsi" w:hAnsiTheme="minorHAnsi"/>
        </w:rPr>
        <w:t xml:space="preserve"> Cloud-based infrastructure. </w:t>
      </w:r>
    </w:p>
    <w:p w14:paraId="078DB041" w14:textId="77777777" w:rsidR="00243B9A" w:rsidRPr="00C33D86" w:rsidRDefault="00243B9A" w:rsidP="00C33D86">
      <w:pPr>
        <w:numPr>
          <w:ilvl w:val="0"/>
          <w:numId w:val="8"/>
        </w:numPr>
        <w:spacing w:line="259" w:lineRule="auto"/>
        <w:ind w:left="90" w:right="25" w:firstLine="0"/>
        <w:jc w:val="left"/>
        <w:rPr>
          <w:rFonts w:asciiTheme="minorHAnsi" w:hAnsiTheme="minorHAnsi"/>
        </w:rPr>
      </w:pPr>
      <w:bookmarkStart w:id="62" w:name="_Toc232428863"/>
      <w:r w:rsidRPr="00C33D86">
        <w:rPr>
          <w:rFonts w:asciiTheme="minorHAnsi" w:hAnsiTheme="minorHAnsi"/>
        </w:rPr>
        <w:t>Resolution of compatibility issues or other issues with third-party hardware, software, or applications not supported by the manufacturer.</w:t>
      </w:r>
    </w:p>
    <w:p w14:paraId="218CD0DC" w14:textId="77777777" w:rsidR="00243B9A" w:rsidRPr="00243B9A" w:rsidRDefault="00243B9A" w:rsidP="00C33D86">
      <w:pPr>
        <w:numPr>
          <w:ilvl w:val="0"/>
          <w:numId w:val="8"/>
        </w:numPr>
        <w:spacing w:line="259" w:lineRule="auto"/>
        <w:ind w:left="90" w:right="25" w:firstLine="0"/>
        <w:jc w:val="left"/>
      </w:pPr>
      <w:r w:rsidRPr="00C33D86">
        <w:rPr>
          <w:rFonts w:asciiTheme="minorHAnsi" w:hAnsiTheme="minorHAnsi"/>
        </w:rPr>
        <w:t>Purchase of any software or software-as-a-service licenses on behalf of Client</w:t>
      </w:r>
      <w:r w:rsidRPr="00243B9A">
        <w:rPr>
          <w:rFonts w:ascii="Aptos" w:hAnsi="Aptos"/>
        </w:rPr>
        <w:t xml:space="preserve"> except as set forth in the applicable Order.</w:t>
      </w:r>
    </w:p>
    <w:p w14:paraId="5F02B23A" w14:textId="77777777" w:rsidR="00C23767" w:rsidRPr="00E66AB8" w:rsidRDefault="005A7438" w:rsidP="00113465">
      <w:pPr>
        <w:pStyle w:val="Heading2"/>
        <w:ind w:left="90"/>
        <w:rPr>
          <w:rFonts w:asciiTheme="minorHAnsi" w:hAnsiTheme="minorHAnsi"/>
        </w:rPr>
      </w:pPr>
      <w:bookmarkStart w:id="63" w:name="_Toc232497734"/>
      <w:r w:rsidRPr="00E66AB8">
        <w:rPr>
          <w:rFonts w:asciiTheme="minorHAnsi" w:hAnsiTheme="minorHAnsi"/>
        </w:rPr>
        <w:t>Offer-Specific Client Responsibilities</w:t>
      </w:r>
      <w:bookmarkEnd w:id="62"/>
      <w:bookmarkEnd w:id="63"/>
      <w:r w:rsidRPr="00E66AB8">
        <w:rPr>
          <w:rFonts w:asciiTheme="minorHAnsi" w:hAnsiTheme="minorHAnsi"/>
          <w:color w:val="000000"/>
        </w:rPr>
        <w:t xml:space="preserve"> </w:t>
      </w:r>
    </w:p>
    <w:p w14:paraId="057C434D" w14:textId="77777777" w:rsidR="00C23767" w:rsidRPr="00E66AB8" w:rsidRDefault="005A7438" w:rsidP="00C33D86">
      <w:pPr>
        <w:numPr>
          <w:ilvl w:val="0"/>
          <w:numId w:val="8"/>
        </w:numPr>
        <w:spacing w:line="259" w:lineRule="auto"/>
        <w:ind w:left="90" w:right="25" w:firstLine="0"/>
        <w:jc w:val="left"/>
        <w:rPr>
          <w:rFonts w:asciiTheme="minorHAnsi" w:hAnsiTheme="minorHAnsi"/>
        </w:rPr>
      </w:pPr>
      <w:r w:rsidRPr="00E66AB8">
        <w:rPr>
          <w:rFonts w:asciiTheme="minorHAnsi" w:hAnsiTheme="minorHAnsi"/>
        </w:rPr>
        <w:t xml:space="preserve">Client agrees to cooperate with PacketWatch in its delivery of the Services, and agrees to the following responsibilities: </w:t>
      </w:r>
    </w:p>
    <w:p w14:paraId="39EBE2A2" w14:textId="77777777" w:rsidR="00243B9A" w:rsidRPr="00C33D86" w:rsidRDefault="00243B9A" w:rsidP="00C33D86">
      <w:pPr>
        <w:numPr>
          <w:ilvl w:val="0"/>
          <w:numId w:val="8"/>
        </w:numPr>
        <w:spacing w:line="259" w:lineRule="auto"/>
        <w:ind w:left="90" w:right="25" w:firstLine="0"/>
        <w:jc w:val="left"/>
        <w:rPr>
          <w:rFonts w:asciiTheme="minorHAnsi" w:hAnsiTheme="minorHAnsi"/>
        </w:rPr>
      </w:pPr>
      <w:r w:rsidRPr="00C33D86">
        <w:rPr>
          <w:rFonts w:asciiTheme="minorHAnsi" w:hAnsiTheme="minorHAnsi"/>
        </w:rPr>
        <w:t xml:space="preserve">Client must provide PacketWatch </w:t>
      </w:r>
      <w:proofErr w:type="gramStart"/>
      <w:r w:rsidRPr="00C33D86">
        <w:rPr>
          <w:rFonts w:asciiTheme="minorHAnsi" w:hAnsiTheme="minorHAnsi"/>
        </w:rPr>
        <w:t>technicians</w:t>
      </w:r>
      <w:proofErr w:type="gramEnd"/>
      <w:r w:rsidRPr="00C33D86">
        <w:rPr>
          <w:rFonts w:asciiTheme="minorHAnsi" w:hAnsiTheme="minorHAnsi"/>
        </w:rPr>
        <w:t xml:space="preserve"> access to required elements of the Client Environment during the Term to perform the Services.</w:t>
      </w:r>
    </w:p>
    <w:p w14:paraId="131087D3" w14:textId="77777777" w:rsidR="00C23767" w:rsidRPr="00E66AB8" w:rsidRDefault="005A7438" w:rsidP="00C33D86">
      <w:pPr>
        <w:numPr>
          <w:ilvl w:val="0"/>
          <w:numId w:val="8"/>
        </w:numPr>
        <w:spacing w:line="259" w:lineRule="auto"/>
        <w:ind w:left="90" w:right="25"/>
        <w:jc w:val="left"/>
        <w:rPr>
          <w:rFonts w:asciiTheme="minorHAnsi" w:hAnsiTheme="minorHAnsi"/>
        </w:rPr>
      </w:pPr>
      <w:r w:rsidRPr="00E66AB8">
        <w:rPr>
          <w:rFonts w:asciiTheme="minorHAnsi" w:hAnsiTheme="minorHAnsi"/>
        </w:rPr>
        <w:t xml:space="preserve">Client must be present or provide a knowledgeable Client representative who will be present, available and participate in all scheduled meetings. </w:t>
      </w:r>
    </w:p>
    <w:p w14:paraId="3BA00041" w14:textId="77777777" w:rsidR="00D6609D" w:rsidRPr="00C33D86" w:rsidRDefault="00D6609D" w:rsidP="00C33D86">
      <w:pPr>
        <w:numPr>
          <w:ilvl w:val="0"/>
          <w:numId w:val="8"/>
        </w:numPr>
        <w:spacing w:line="259" w:lineRule="auto"/>
        <w:ind w:left="90" w:right="25" w:firstLine="0"/>
        <w:jc w:val="left"/>
        <w:rPr>
          <w:rFonts w:asciiTheme="minorHAnsi" w:hAnsiTheme="minorHAnsi"/>
        </w:rPr>
      </w:pPr>
      <w:r w:rsidRPr="00C33D86">
        <w:rPr>
          <w:rFonts w:asciiTheme="minorHAnsi" w:hAnsiTheme="minorHAnsi"/>
        </w:rPr>
        <w:t>Deploy EDR agent(s) on at least 90% of hosts to provide PacketWatch analysts with adequate visibility into the Client Environment.</w:t>
      </w:r>
    </w:p>
    <w:p w14:paraId="7646C6C4" w14:textId="77777777" w:rsidR="00C23767" w:rsidRPr="00E66AB8" w:rsidRDefault="005A7438" w:rsidP="00C33D86">
      <w:pPr>
        <w:numPr>
          <w:ilvl w:val="0"/>
          <w:numId w:val="8"/>
        </w:numPr>
        <w:spacing w:line="259" w:lineRule="auto"/>
        <w:ind w:left="90" w:right="25"/>
        <w:jc w:val="left"/>
        <w:rPr>
          <w:rFonts w:asciiTheme="minorHAnsi" w:hAnsiTheme="minorHAnsi"/>
        </w:rPr>
      </w:pPr>
      <w:r w:rsidRPr="00E66AB8">
        <w:rPr>
          <w:rFonts w:asciiTheme="minorHAnsi" w:hAnsiTheme="minorHAnsi"/>
        </w:rPr>
        <w:t xml:space="preserve">Obtain all support for third-party endpoint agents from the third party or other authorized sources; PacketWatch does not provide support for third-party endpoint agents. </w:t>
      </w:r>
    </w:p>
    <w:p w14:paraId="61B7CEE7" w14:textId="77777777" w:rsidR="00D6609D" w:rsidRPr="00C33D86" w:rsidRDefault="00D6609D" w:rsidP="00C33D86">
      <w:pPr>
        <w:numPr>
          <w:ilvl w:val="0"/>
          <w:numId w:val="8"/>
        </w:numPr>
        <w:spacing w:line="259" w:lineRule="auto"/>
        <w:ind w:left="90" w:right="25" w:firstLine="0"/>
        <w:jc w:val="left"/>
        <w:rPr>
          <w:rFonts w:asciiTheme="minorHAnsi" w:hAnsiTheme="minorHAnsi"/>
        </w:rPr>
      </w:pPr>
      <w:r w:rsidRPr="00C33D86">
        <w:rPr>
          <w:rFonts w:asciiTheme="minorHAnsi" w:hAnsiTheme="minorHAnsi"/>
        </w:rPr>
        <w:t>Ensure availability of sufficient network bandwidth and access to perform the Services.</w:t>
      </w:r>
    </w:p>
    <w:p w14:paraId="1891809B" w14:textId="77777777" w:rsidR="00C23767" w:rsidRPr="00E66AB8" w:rsidRDefault="005A7438" w:rsidP="00C33D86">
      <w:pPr>
        <w:numPr>
          <w:ilvl w:val="0"/>
          <w:numId w:val="8"/>
        </w:numPr>
        <w:spacing w:line="259" w:lineRule="auto"/>
        <w:ind w:left="90" w:right="25"/>
        <w:jc w:val="left"/>
        <w:rPr>
          <w:rFonts w:asciiTheme="minorHAnsi" w:hAnsiTheme="minorHAnsi"/>
        </w:rPr>
      </w:pPr>
      <w:r w:rsidRPr="00E66AB8">
        <w:rPr>
          <w:rFonts w:asciiTheme="minorHAnsi" w:hAnsiTheme="minorHAnsi"/>
        </w:rPr>
        <w:t xml:space="preserve">Provide appropriate access to the EDR application for PacketWatch analysts if not procured and provided hereunder. </w:t>
      </w:r>
    </w:p>
    <w:p w14:paraId="20FF6685" w14:textId="77777777" w:rsidR="00C23767" w:rsidRPr="00E66AB8" w:rsidRDefault="005A7438" w:rsidP="00113465">
      <w:pPr>
        <w:numPr>
          <w:ilvl w:val="0"/>
          <w:numId w:val="9"/>
        </w:numPr>
        <w:spacing w:line="259" w:lineRule="auto"/>
        <w:ind w:left="90" w:right="25" w:firstLine="0"/>
        <w:rPr>
          <w:rFonts w:asciiTheme="minorHAnsi" w:hAnsiTheme="minorHAnsi"/>
        </w:rPr>
      </w:pPr>
      <w:r w:rsidRPr="00E66AB8">
        <w:rPr>
          <w:rFonts w:asciiTheme="minorHAnsi" w:hAnsiTheme="minorHAnsi"/>
        </w:rPr>
        <w:t xml:space="preserve">Ensure Client security controls are compatible with PacketWatch and the EDR application. </w:t>
      </w:r>
    </w:p>
    <w:p w14:paraId="010CB63D" w14:textId="77777777" w:rsidR="00C23767" w:rsidRPr="00E66AB8" w:rsidRDefault="005A7438" w:rsidP="00113465">
      <w:pPr>
        <w:numPr>
          <w:ilvl w:val="0"/>
          <w:numId w:val="9"/>
        </w:numPr>
        <w:spacing w:after="61"/>
        <w:ind w:left="90" w:right="25" w:firstLine="0"/>
        <w:rPr>
          <w:rFonts w:asciiTheme="minorHAnsi" w:hAnsiTheme="minorHAnsi"/>
        </w:rPr>
      </w:pPr>
      <w:r w:rsidRPr="00E66AB8">
        <w:rPr>
          <w:rFonts w:asciiTheme="minorHAnsi" w:hAnsiTheme="minorHAnsi"/>
        </w:rPr>
        <w:t xml:space="preserve">Ensure list of Client authorized contacts remains current, including permissions and associated information. </w:t>
      </w:r>
    </w:p>
    <w:p w14:paraId="6FF89A08" w14:textId="77777777" w:rsidR="00A46761" w:rsidRPr="00E66AB8" w:rsidRDefault="00A46761" w:rsidP="00113465">
      <w:pPr>
        <w:numPr>
          <w:ilvl w:val="0"/>
          <w:numId w:val="9"/>
        </w:numPr>
        <w:spacing w:after="61"/>
        <w:ind w:left="90" w:right="25" w:firstLine="0"/>
        <w:rPr>
          <w:rFonts w:asciiTheme="minorHAnsi" w:hAnsiTheme="minorHAnsi"/>
        </w:rPr>
      </w:pPr>
      <w:r w:rsidRPr="00E66AB8">
        <w:rPr>
          <w:rFonts w:asciiTheme="minorHAnsi" w:hAnsiTheme="minorHAnsi"/>
        </w:rPr>
        <w:t>Provide supplemental information and assistance (for example, files, logs, environment context, and other data reasonably requested) promptly during investigations, incident handling, and service delivery, and ensure that Client has the right to provide such information to PacketWatch for those purposes.</w:t>
      </w:r>
    </w:p>
    <w:p w14:paraId="4527B9F8" w14:textId="77777777" w:rsidR="00243B9A" w:rsidRPr="00C33D86" w:rsidRDefault="00243B9A" w:rsidP="00C33D86">
      <w:pPr>
        <w:numPr>
          <w:ilvl w:val="0"/>
          <w:numId w:val="9"/>
        </w:numPr>
        <w:spacing w:after="61"/>
        <w:ind w:left="90" w:right="25" w:firstLine="0"/>
        <w:rPr>
          <w:rFonts w:asciiTheme="minorHAnsi" w:hAnsiTheme="minorHAnsi"/>
        </w:rPr>
      </w:pPr>
      <w:r w:rsidRPr="00C33D86">
        <w:rPr>
          <w:rFonts w:asciiTheme="minorHAnsi" w:hAnsiTheme="minorHAnsi"/>
        </w:rPr>
        <w:t>Manage and administer all users Client authorizes to access or use the Services.</w:t>
      </w:r>
    </w:p>
    <w:p w14:paraId="7B36DA98" w14:textId="77777777" w:rsidR="00243B9A" w:rsidRPr="00C33D86" w:rsidRDefault="00243B9A" w:rsidP="00C33D86">
      <w:pPr>
        <w:numPr>
          <w:ilvl w:val="0"/>
          <w:numId w:val="9"/>
        </w:numPr>
        <w:spacing w:after="61"/>
        <w:ind w:left="90" w:right="25" w:firstLine="0"/>
        <w:rPr>
          <w:rFonts w:asciiTheme="minorHAnsi" w:hAnsiTheme="minorHAnsi"/>
        </w:rPr>
      </w:pPr>
      <w:r w:rsidRPr="00C33D86">
        <w:rPr>
          <w:rFonts w:asciiTheme="minorHAnsi" w:hAnsiTheme="minorHAnsi"/>
        </w:rPr>
        <w:t>Ensure adequate controls exist preventing unauthorized access to the Services by users; maintain the confidentiality of usernames, passwords, and account information of users.</w:t>
      </w:r>
    </w:p>
    <w:p w14:paraId="2E7F11B1" w14:textId="77777777" w:rsidR="00243B9A" w:rsidRPr="00C33D86" w:rsidRDefault="00243B9A" w:rsidP="00C33D86">
      <w:pPr>
        <w:numPr>
          <w:ilvl w:val="0"/>
          <w:numId w:val="9"/>
        </w:numPr>
        <w:spacing w:after="61"/>
        <w:ind w:left="90" w:right="25" w:firstLine="0"/>
        <w:rPr>
          <w:rFonts w:asciiTheme="minorHAnsi" w:hAnsiTheme="minorHAnsi"/>
        </w:rPr>
      </w:pPr>
      <w:r w:rsidRPr="00C33D86">
        <w:rPr>
          <w:rFonts w:asciiTheme="minorHAnsi" w:hAnsiTheme="minorHAnsi"/>
        </w:rPr>
        <w:t>Client is responsible for all activities by the users it has authorized and will notify PacketWatch immediately of any unauthorized use of the Services.</w:t>
      </w:r>
    </w:p>
    <w:p w14:paraId="61F36298" w14:textId="77777777" w:rsidR="00D6609D" w:rsidRPr="00C33D86" w:rsidRDefault="00D6609D" w:rsidP="00C33D86">
      <w:pPr>
        <w:numPr>
          <w:ilvl w:val="0"/>
          <w:numId w:val="9"/>
        </w:numPr>
        <w:spacing w:after="61"/>
        <w:ind w:left="90" w:right="25" w:firstLine="0"/>
        <w:rPr>
          <w:rFonts w:asciiTheme="minorHAnsi" w:hAnsiTheme="minorHAnsi"/>
        </w:rPr>
      </w:pPr>
      <w:r w:rsidRPr="00C33D86">
        <w:rPr>
          <w:rFonts w:asciiTheme="minorHAnsi" w:hAnsiTheme="minorHAnsi"/>
        </w:rPr>
        <w:t>Use two-factor authentication, where available, to access the Services.</w:t>
      </w:r>
    </w:p>
    <w:p w14:paraId="4E8CE6F1" w14:textId="77777777" w:rsidR="003777D4" w:rsidRPr="003777D4" w:rsidRDefault="003777D4" w:rsidP="00C33D86">
      <w:pPr>
        <w:numPr>
          <w:ilvl w:val="0"/>
          <w:numId w:val="9"/>
        </w:numPr>
        <w:spacing w:after="61"/>
        <w:ind w:left="90" w:right="25" w:firstLine="0"/>
      </w:pPr>
      <w:r w:rsidRPr="00C33D86">
        <w:rPr>
          <w:rFonts w:asciiTheme="minorHAnsi" w:hAnsiTheme="minorHAnsi"/>
        </w:rPr>
        <w:t xml:space="preserve">Accept all updates and upgrades to the EDR application and </w:t>
      </w:r>
      <w:proofErr w:type="spellStart"/>
      <w:r w:rsidRPr="00C33D86">
        <w:rPr>
          <w:rFonts w:asciiTheme="minorHAnsi" w:hAnsiTheme="minorHAnsi"/>
        </w:rPr>
        <w:t>WireSight</w:t>
      </w:r>
      <w:proofErr w:type="spellEnd"/>
      <w:r w:rsidRPr="00C33D86">
        <w:rPr>
          <w:rFonts w:asciiTheme="minorHAnsi" w:hAnsiTheme="minorHAnsi"/>
        </w:rPr>
        <w:t xml:space="preserve"> deployment components (including collectors) that are necessary for the proper function and security</w:t>
      </w:r>
      <w:r w:rsidRPr="003777D4">
        <w:rPr>
          <w:rFonts w:ascii="Aptos" w:hAnsi="Aptos"/>
        </w:rPr>
        <w:t xml:space="preserve"> of the Services.</w:t>
      </w:r>
    </w:p>
    <w:p w14:paraId="723ECA77" w14:textId="08C793A6" w:rsidR="00C23767" w:rsidRPr="00E66AB8" w:rsidRDefault="00C23767" w:rsidP="00113465">
      <w:pPr>
        <w:spacing w:after="112" w:line="259" w:lineRule="auto"/>
        <w:ind w:left="90" w:firstLine="0"/>
        <w:jc w:val="left"/>
        <w:rPr>
          <w:rFonts w:asciiTheme="minorHAnsi" w:hAnsiTheme="minorHAnsi"/>
        </w:rPr>
      </w:pPr>
    </w:p>
    <w:p w14:paraId="6DEA1B42" w14:textId="77777777" w:rsidR="00C23767" w:rsidRPr="00E66AB8" w:rsidRDefault="005A7438" w:rsidP="00113465">
      <w:pPr>
        <w:pStyle w:val="Heading2"/>
        <w:spacing w:after="0"/>
        <w:ind w:left="90"/>
        <w:rPr>
          <w:rFonts w:asciiTheme="minorHAnsi" w:hAnsiTheme="minorHAnsi"/>
        </w:rPr>
      </w:pPr>
      <w:bookmarkStart w:id="64" w:name="_Toc232428864"/>
      <w:bookmarkStart w:id="65" w:name="_Toc232497735"/>
      <w:r w:rsidRPr="00E66AB8">
        <w:rPr>
          <w:rFonts w:asciiTheme="minorHAnsi" w:hAnsiTheme="minorHAnsi"/>
        </w:rPr>
        <w:t>Glossary</w:t>
      </w:r>
      <w:bookmarkEnd w:id="64"/>
      <w:bookmarkEnd w:id="65"/>
      <w:r w:rsidRPr="00E66AB8">
        <w:rPr>
          <w:rFonts w:asciiTheme="minorHAnsi" w:hAnsiTheme="minorHAnsi"/>
          <w:color w:val="000000"/>
        </w:rPr>
        <w:t xml:space="preserve"> </w:t>
      </w:r>
    </w:p>
    <w:p w14:paraId="49249FB3"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cs="Arial"/>
          <w:b/>
        </w:rPr>
        <w:t xml:space="preserve"> </w:t>
      </w:r>
    </w:p>
    <w:tbl>
      <w:tblPr>
        <w:tblW w:w="9351" w:type="dxa"/>
        <w:tblInd w:w="-88"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1613"/>
        <w:gridCol w:w="7738"/>
      </w:tblGrid>
      <w:tr w:rsidR="00DF52FA" w14:paraId="6B95414C" w14:textId="77777777" w:rsidTr="00113465">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58FB5CDE" w14:textId="77777777" w:rsidR="00DF52FA" w:rsidRDefault="00DF52FA" w:rsidP="00113465">
            <w:pPr>
              <w:spacing w:after="0"/>
              <w:ind w:left="90" w:firstLine="0"/>
              <w:jc w:val="center"/>
              <w:rPr>
                <w:kern w:val="0"/>
                <w:szCs w:val="20"/>
                <w14:ligatures w14:val="none"/>
              </w:rPr>
            </w:pPr>
            <w:r>
              <w:rPr>
                <w:b/>
                <w:bCs/>
                <w:color w:val="FFFFFF"/>
              </w:rPr>
              <w:t>Term</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3E26A503" w14:textId="77777777" w:rsidR="00DF52FA" w:rsidRDefault="00DF52FA" w:rsidP="00113465">
            <w:pPr>
              <w:spacing w:after="0"/>
              <w:ind w:left="90" w:firstLine="0"/>
              <w:jc w:val="center"/>
            </w:pPr>
            <w:r>
              <w:rPr>
                <w:b/>
                <w:bCs/>
                <w:color w:val="FFFFFF"/>
              </w:rPr>
              <w:t>Description</w:t>
            </w:r>
          </w:p>
        </w:tc>
      </w:tr>
      <w:tr w:rsidR="00DF52FA" w14:paraId="50105A3E"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57F6FF50" w14:textId="77777777" w:rsidR="00DF52FA" w:rsidRDefault="00DF52FA" w:rsidP="00113465">
            <w:pPr>
              <w:spacing w:after="0"/>
              <w:ind w:left="90" w:firstLine="0"/>
            </w:pPr>
            <w:r>
              <w:t>Alert</w:t>
            </w:r>
          </w:p>
        </w:tc>
        <w:tc>
          <w:tcPr>
            <w:tcW w:w="0" w:type="auto"/>
            <w:tcBorders>
              <w:top w:val="outset" w:sz="6" w:space="0" w:color="auto"/>
              <w:left w:val="outset" w:sz="6" w:space="0" w:color="auto"/>
              <w:bottom w:val="outset" w:sz="6" w:space="0" w:color="auto"/>
              <w:right w:val="outset" w:sz="6" w:space="0" w:color="auto"/>
            </w:tcBorders>
            <w:hideMark/>
          </w:tcPr>
          <w:p w14:paraId="39AD7FE6" w14:textId="77777777" w:rsidR="00DF52FA" w:rsidRDefault="00DF52FA" w:rsidP="00113465">
            <w:pPr>
              <w:spacing w:after="0"/>
              <w:ind w:left="90" w:firstLine="0"/>
            </w:pPr>
            <w:r>
              <w:t xml:space="preserve">A prioritized event or condition identified by PacketWatch for response based on severity and urgency. An Alert may arise from a Signal generated by </w:t>
            </w:r>
            <w:proofErr w:type="spellStart"/>
            <w:r>
              <w:t>WireSight</w:t>
            </w:r>
            <w:proofErr w:type="spellEnd"/>
            <w:r>
              <w:t>, a detection generated by the EDR application, or a threat-hunting finding.</w:t>
            </w:r>
          </w:p>
        </w:tc>
      </w:tr>
      <w:tr w:rsidR="00DF52FA" w14:paraId="6DA412CE"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1E62E580" w14:textId="77777777" w:rsidR="00DF52FA" w:rsidRDefault="00DF52FA" w:rsidP="00113465">
            <w:pPr>
              <w:spacing w:after="0"/>
              <w:ind w:left="90" w:firstLine="0"/>
            </w:pPr>
            <w:r>
              <w:t>Signal</w:t>
            </w:r>
          </w:p>
        </w:tc>
        <w:tc>
          <w:tcPr>
            <w:tcW w:w="0" w:type="auto"/>
            <w:tcBorders>
              <w:top w:val="outset" w:sz="6" w:space="0" w:color="auto"/>
              <w:left w:val="outset" w:sz="6" w:space="0" w:color="auto"/>
              <w:bottom w:val="outset" w:sz="6" w:space="0" w:color="auto"/>
              <w:right w:val="outset" w:sz="6" w:space="0" w:color="auto"/>
            </w:tcBorders>
            <w:hideMark/>
          </w:tcPr>
          <w:p w14:paraId="530B2555" w14:textId="77777777" w:rsidR="00DF52FA" w:rsidRDefault="00DF52FA" w:rsidP="00113465">
            <w:pPr>
              <w:spacing w:after="0"/>
              <w:ind w:left="90" w:firstLine="0"/>
            </w:pPr>
            <w:r>
              <w:t xml:space="preserve">A platform-native </w:t>
            </w:r>
            <w:proofErr w:type="spellStart"/>
            <w:r>
              <w:t>WireSight</w:t>
            </w:r>
            <w:proofErr w:type="spellEnd"/>
            <w:r>
              <w:t xml:space="preserve"> detection representing suspicious or potentially malicious behavior identified for analyst review, triage, or investigation.</w:t>
            </w:r>
          </w:p>
        </w:tc>
      </w:tr>
      <w:tr w:rsidR="00DF52FA" w14:paraId="052F8035"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4A725C60" w14:textId="77777777" w:rsidR="00DF52FA" w:rsidRDefault="00DF52FA" w:rsidP="00113465">
            <w:pPr>
              <w:spacing w:after="0"/>
              <w:ind w:left="90" w:firstLine="0"/>
            </w:pPr>
            <w:r>
              <w:t>Endpoint Agent</w:t>
            </w:r>
          </w:p>
        </w:tc>
        <w:tc>
          <w:tcPr>
            <w:tcW w:w="0" w:type="auto"/>
            <w:tcBorders>
              <w:top w:val="outset" w:sz="6" w:space="0" w:color="auto"/>
              <w:left w:val="outset" w:sz="6" w:space="0" w:color="auto"/>
              <w:bottom w:val="outset" w:sz="6" w:space="0" w:color="auto"/>
              <w:right w:val="outset" w:sz="6" w:space="0" w:color="auto"/>
            </w:tcBorders>
            <w:hideMark/>
          </w:tcPr>
          <w:p w14:paraId="204EAC2A" w14:textId="77777777" w:rsidR="00DF52FA" w:rsidRDefault="00DF52FA" w:rsidP="00113465">
            <w:pPr>
              <w:spacing w:after="0"/>
              <w:ind w:left="90" w:firstLine="0"/>
            </w:pPr>
            <w:r>
              <w:t>A small application installed on an endpoint or host that is used to perform services and/or gather and send information about activities and operating system details of the endpoint for analysis and detection of threats.</w:t>
            </w:r>
          </w:p>
        </w:tc>
      </w:tr>
      <w:tr w:rsidR="00DF52FA" w14:paraId="71B46012"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0A562688" w14:textId="77777777" w:rsidR="00DF52FA" w:rsidRDefault="00DF52FA" w:rsidP="00113465">
            <w:pPr>
              <w:spacing w:after="0"/>
              <w:ind w:left="90" w:firstLine="0"/>
            </w:pPr>
            <w:r>
              <w:t>Integration</w:t>
            </w:r>
          </w:p>
        </w:tc>
        <w:tc>
          <w:tcPr>
            <w:tcW w:w="0" w:type="auto"/>
            <w:tcBorders>
              <w:top w:val="outset" w:sz="6" w:space="0" w:color="auto"/>
              <w:left w:val="outset" w:sz="6" w:space="0" w:color="auto"/>
              <w:bottom w:val="outset" w:sz="6" w:space="0" w:color="auto"/>
              <w:right w:val="outset" w:sz="6" w:space="0" w:color="auto"/>
            </w:tcBorders>
            <w:hideMark/>
          </w:tcPr>
          <w:p w14:paraId="2610E881" w14:textId="77777777" w:rsidR="00DF52FA" w:rsidRDefault="00DF52FA" w:rsidP="00113465">
            <w:pPr>
              <w:spacing w:after="0"/>
              <w:ind w:left="90" w:firstLine="0"/>
            </w:pPr>
            <w:r>
              <w:t>Application Programming Interface (API) calls or other software scripts for conducting the agreed-upon Services for the connected technology.</w:t>
            </w:r>
          </w:p>
        </w:tc>
      </w:tr>
      <w:tr w:rsidR="00DF52FA" w14:paraId="6DC58FE1"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2FD6901F" w14:textId="77777777" w:rsidR="00DF52FA" w:rsidRDefault="00DF52FA" w:rsidP="00113465">
            <w:pPr>
              <w:spacing w:after="0"/>
              <w:ind w:left="90" w:firstLine="0"/>
            </w:pPr>
            <w:r>
              <w:t>Threat</w:t>
            </w:r>
          </w:p>
        </w:tc>
        <w:tc>
          <w:tcPr>
            <w:tcW w:w="0" w:type="auto"/>
            <w:tcBorders>
              <w:top w:val="outset" w:sz="6" w:space="0" w:color="auto"/>
              <w:left w:val="outset" w:sz="6" w:space="0" w:color="auto"/>
              <w:bottom w:val="outset" w:sz="6" w:space="0" w:color="auto"/>
              <w:right w:val="outset" w:sz="6" w:space="0" w:color="auto"/>
            </w:tcBorders>
            <w:hideMark/>
          </w:tcPr>
          <w:p w14:paraId="7262F840" w14:textId="77777777" w:rsidR="00C33D86" w:rsidRDefault="00C33D86">
            <w:pPr>
              <w:spacing w:after="0"/>
              <w:ind w:left="90" w:firstLine="0"/>
            </w:pPr>
            <w:r>
              <w:t xml:space="preserve">Any activity identified through a Signal generated by </w:t>
            </w:r>
            <w:proofErr w:type="spellStart"/>
            <w:r>
              <w:t>WireSight</w:t>
            </w:r>
            <w:proofErr w:type="spellEnd"/>
            <w:r>
              <w:t xml:space="preserve"> or a detection generated by the EDR application that may cause harm to an asset in the Client Environment.</w:t>
            </w:r>
          </w:p>
          <w:p w14:paraId="5563B938" w14:textId="248EC90F" w:rsidR="00DF52FA" w:rsidRDefault="00DF52FA" w:rsidP="00113465">
            <w:pPr>
              <w:spacing w:after="0"/>
              <w:ind w:left="90" w:firstLine="0"/>
            </w:pPr>
          </w:p>
        </w:tc>
      </w:tr>
      <w:tr w:rsidR="00DF52FA" w14:paraId="4FF1110C"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4F2D9237" w14:textId="77777777" w:rsidR="00DF52FA" w:rsidRDefault="00DF52FA" w:rsidP="00113465">
            <w:pPr>
              <w:spacing w:after="0"/>
              <w:ind w:left="90" w:firstLine="0"/>
            </w:pPr>
            <w:r>
              <w:t>Investigation</w:t>
            </w:r>
          </w:p>
        </w:tc>
        <w:tc>
          <w:tcPr>
            <w:tcW w:w="0" w:type="auto"/>
            <w:tcBorders>
              <w:top w:val="outset" w:sz="6" w:space="0" w:color="auto"/>
              <w:left w:val="outset" w:sz="6" w:space="0" w:color="auto"/>
              <w:bottom w:val="outset" w:sz="6" w:space="0" w:color="auto"/>
              <w:right w:val="outset" w:sz="6" w:space="0" w:color="auto"/>
            </w:tcBorders>
            <w:hideMark/>
          </w:tcPr>
          <w:p w14:paraId="71C1DDDF" w14:textId="77777777" w:rsidR="00C33D86" w:rsidRDefault="00C33D86">
            <w:pPr>
              <w:spacing w:after="0"/>
              <w:ind w:left="90" w:firstLine="0"/>
            </w:pPr>
            <w:r>
              <w:t>The collection, systematic examination, review, and analysis of evidence related to a Signal, Alert, detection, or other activity that may represent a threat targeting an asset in the Client Environment.</w:t>
            </w:r>
          </w:p>
          <w:p w14:paraId="224F1BFA" w14:textId="12340C20" w:rsidR="00DF52FA" w:rsidRDefault="00DF52FA" w:rsidP="00113465">
            <w:pPr>
              <w:spacing w:after="0"/>
              <w:ind w:left="90" w:firstLine="0"/>
            </w:pPr>
          </w:p>
        </w:tc>
      </w:tr>
      <w:tr w:rsidR="00DF52FA" w14:paraId="47C8CA5C"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3DEE93C9" w14:textId="77777777" w:rsidR="00243B9A" w:rsidRDefault="00243B9A">
            <w:pPr>
              <w:spacing w:after="0"/>
              <w:ind w:left="90" w:firstLine="0"/>
              <w:rPr>
                <w:kern w:val="0"/>
                <w:szCs w:val="20"/>
                <w14:ligatures w14:val="none"/>
              </w:rPr>
            </w:pPr>
            <w:r>
              <w:t>Covered Security Incident</w:t>
            </w:r>
          </w:p>
          <w:p w14:paraId="6E27E148" w14:textId="519E389C" w:rsidR="00DF52FA" w:rsidRDefault="00DF52FA" w:rsidP="00113465">
            <w:pPr>
              <w:spacing w:after="0"/>
              <w:ind w:left="90" w:firstLine="0"/>
            </w:pPr>
          </w:p>
        </w:tc>
        <w:tc>
          <w:tcPr>
            <w:tcW w:w="0" w:type="auto"/>
            <w:tcBorders>
              <w:top w:val="outset" w:sz="6" w:space="0" w:color="auto"/>
              <w:left w:val="outset" w:sz="6" w:space="0" w:color="auto"/>
              <w:bottom w:val="outset" w:sz="6" w:space="0" w:color="auto"/>
              <w:right w:val="outset" w:sz="6" w:space="0" w:color="auto"/>
            </w:tcBorders>
            <w:hideMark/>
          </w:tcPr>
          <w:p w14:paraId="1C6E8B99" w14:textId="77777777" w:rsidR="00243B9A" w:rsidRDefault="00243B9A">
            <w:pPr>
              <w:spacing w:after="0"/>
              <w:ind w:left="90" w:firstLine="0"/>
              <w:rPr>
                <w:kern w:val="0"/>
                <w:szCs w:val="20"/>
                <w14:ligatures w14:val="none"/>
              </w:rPr>
            </w:pPr>
            <w:r>
              <w:t>For purposes of the PacketWatch Professional Services Limited-Service Warranty only, a "Covered Security Incident" means unauthorized access by a third party to the operating system of a covered endpoint in the Protected Environment that results in the malicious exfiltration, destruction, and/or irreversible encryption of Client’s and/or its Affiliate’s data that Client reasonably believes has value greater than $5,000. See the PacketWatch Professional Services Limited-Service Warranty Agreement for additional limitations and requirements.</w:t>
            </w:r>
          </w:p>
          <w:p w14:paraId="0AFA84E4" w14:textId="52F50285" w:rsidR="00DF52FA" w:rsidRDefault="00DF52FA" w:rsidP="00113465">
            <w:pPr>
              <w:spacing w:after="0"/>
              <w:ind w:left="90" w:firstLine="0"/>
            </w:pPr>
          </w:p>
        </w:tc>
      </w:tr>
      <w:tr w:rsidR="00DF52FA" w14:paraId="421711B5" w14:textId="77777777" w:rsidTr="003777D4">
        <w:tc>
          <w:tcPr>
            <w:tcW w:w="0" w:type="auto"/>
            <w:tcBorders>
              <w:top w:val="outset" w:sz="6" w:space="0" w:color="auto"/>
              <w:left w:val="outset" w:sz="6" w:space="0" w:color="auto"/>
              <w:bottom w:val="outset" w:sz="6" w:space="0" w:color="auto"/>
              <w:right w:val="outset" w:sz="6" w:space="0" w:color="auto"/>
            </w:tcBorders>
            <w:hideMark/>
          </w:tcPr>
          <w:p w14:paraId="7D0819B7" w14:textId="77777777" w:rsidR="00DF52FA" w:rsidRDefault="00DF52FA" w:rsidP="00113465">
            <w:pPr>
              <w:spacing w:after="0"/>
              <w:ind w:left="90" w:firstLine="0"/>
            </w:pPr>
            <w:r>
              <w:t>Protected Environment</w:t>
            </w:r>
          </w:p>
        </w:tc>
        <w:tc>
          <w:tcPr>
            <w:tcW w:w="0" w:type="auto"/>
            <w:tcMar>
              <w:top w:w="80" w:type="dxa"/>
              <w:left w:w="80" w:type="dxa"/>
              <w:bottom w:w="80" w:type="dxa"/>
              <w:right w:w="80" w:type="dxa"/>
            </w:tcMar>
            <w:hideMark/>
          </w:tcPr>
          <w:p w14:paraId="13D31998" w14:textId="1C062C8D" w:rsidR="00243B9A" w:rsidRDefault="00243B9A">
            <w:pPr>
              <w:spacing w:after="0"/>
              <w:ind w:left="90" w:firstLine="0"/>
              <w:rPr>
                <w:kern w:val="0"/>
                <w:szCs w:val="20"/>
                <w14:ligatures w14:val="none"/>
              </w:rPr>
            </w:pPr>
            <w:r>
              <w:t xml:space="preserve">The network segments visible to and monitored through </w:t>
            </w:r>
            <w:proofErr w:type="spellStart"/>
            <w:r>
              <w:t>WireSight</w:t>
            </w:r>
            <w:proofErr w:type="spellEnd"/>
            <w:r>
              <w:t xml:space="preserve"> and the endpoints with EDR software deployed and configured in accordance with </w:t>
            </w:r>
            <w:proofErr w:type="spellStart"/>
            <w:r>
              <w:t>PacketWatch’s</w:t>
            </w:r>
            <w:proofErr w:type="spellEnd"/>
            <w:r>
              <w:t xml:space="preserve"> recommended security </w:t>
            </w:r>
            <w:r w:rsidR="00C33D86">
              <w:t>settings and</w:t>
            </w:r>
            <w:r>
              <w:t xml:space="preserve"> monitored by a PacketWatch analyst. See the PacketWatch Professional Services Limited-Service Warranty Agreement.</w:t>
            </w:r>
          </w:p>
          <w:p w14:paraId="3ACF69B5" w14:textId="050B0BDF" w:rsidR="00DF52FA" w:rsidRDefault="00DF52FA" w:rsidP="003777D4">
            <w:pPr>
              <w:spacing w:after="0"/>
              <w:ind w:left="90" w:firstLine="0"/>
            </w:pPr>
          </w:p>
        </w:tc>
      </w:tr>
      <w:tr w:rsidR="00DF52FA" w14:paraId="4183D487"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56CEA2ED" w14:textId="77777777" w:rsidR="00DF52FA" w:rsidRDefault="00DF52FA" w:rsidP="00113465">
            <w:pPr>
              <w:spacing w:after="0"/>
              <w:ind w:left="90" w:firstLine="0"/>
            </w:pPr>
            <w:r>
              <w:t>Threat Hunting</w:t>
            </w:r>
          </w:p>
        </w:tc>
        <w:tc>
          <w:tcPr>
            <w:tcW w:w="0" w:type="auto"/>
            <w:tcBorders>
              <w:top w:val="outset" w:sz="6" w:space="0" w:color="auto"/>
              <w:left w:val="outset" w:sz="6" w:space="0" w:color="auto"/>
              <w:bottom w:val="outset" w:sz="6" w:space="0" w:color="auto"/>
              <w:right w:val="outset" w:sz="6" w:space="0" w:color="auto"/>
            </w:tcBorders>
            <w:hideMark/>
          </w:tcPr>
          <w:p w14:paraId="504D535C" w14:textId="77777777" w:rsidR="00DF52FA" w:rsidRDefault="00DF52FA" w:rsidP="00113465">
            <w:pPr>
              <w:spacing w:after="0"/>
              <w:ind w:left="90" w:firstLine="0"/>
            </w:pPr>
            <w:r>
              <w:t>The cyclic process in which both software and humans seek to uncover previously unidentified threats or vulnerabilities within an IT environment.</w:t>
            </w:r>
          </w:p>
        </w:tc>
      </w:tr>
      <w:tr w:rsidR="00DF52FA" w14:paraId="30D472B0" w14:textId="77777777" w:rsidTr="00113465">
        <w:tc>
          <w:tcPr>
            <w:tcW w:w="0" w:type="auto"/>
            <w:tcBorders>
              <w:top w:val="outset" w:sz="6" w:space="0" w:color="auto"/>
              <w:left w:val="outset" w:sz="6" w:space="0" w:color="auto"/>
              <w:bottom w:val="outset" w:sz="6" w:space="0" w:color="auto"/>
              <w:right w:val="outset" w:sz="6" w:space="0" w:color="auto"/>
            </w:tcBorders>
            <w:hideMark/>
          </w:tcPr>
          <w:p w14:paraId="797D0C4A" w14:textId="77777777" w:rsidR="00DF52FA" w:rsidRDefault="00DF52FA" w:rsidP="00113465">
            <w:pPr>
              <w:spacing w:after="0"/>
              <w:ind w:left="90" w:firstLine="0"/>
            </w:pPr>
            <w:r>
              <w:t>Limited Warranty Period</w:t>
            </w:r>
          </w:p>
        </w:tc>
        <w:tc>
          <w:tcPr>
            <w:tcW w:w="0" w:type="auto"/>
            <w:tcBorders>
              <w:top w:val="outset" w:sz="6" w:space="0" w:color="auto"/>
              <w:left w:val="outset" w:sz="6" w:space="0" w:color="auto"/>
              <w:bottom w:val="outset" w:sz="6" w:space="0" w:color="auto"/>
              <w:right w:val="outset" w:sz="6" w:space="0" w:color="auto"/>
            </w:tcBorders>
            <w:hideMark/>
          </w:tcPr>
          <w:p w14:paraId="4D4D7D80" w14:textId="77777777" w:rsidR="00DF52FA" w:rsidRDefault="00DF52FA" w:rsidP="00113465">
            <w:pPr>
              <w:spacing w:after="0"/>
              <w:ind w:left="90" w:firstLine="0"/>
            </w:pPr>
            <w:r>
              <w:t>The period from the initiation of Services hereunder until the sooner of the first anniversary of the Effective Date or the expiration of the Term of the Agreement. See the PacketWatch Professional Services Limited-Service Warranty Agreement.</w:t>
            </w:r>
          </w:p>
        </w:tc>
      </w:tr>
    </w:tbl>
    <w:p w14:paraId="5D537683" w14:textId="072C9EDE" w:rsidR="00C23767" w:rsidRPr="00E66AB8" w:rsidRDefault="005A7438" w:rsidP="00113465">
      <w:pPr>
        <w:pStyle w:val="Heading2"/>
        <w:ind w:left="90"/>
        <w:rPr>
          <w:rFonts w:asciiTheme="minorHAnsi" w:hAnsiTheme="minorHAnsi"/>
        </w:rPr>
      </w:pPr>
      <w:bookmarkStart w:id="66" w:name="_Toc232428865"/>
      <w:bookmarkStart w:id="67" w:name="_Toc232497736"/>
      <w:r w:rsidRPr="00E66AB8">
        <w:rPr>
          <w:rFonts w:asciiTheme="minorHAnsi" w:hAnsiTheme="minorHAnsi"/>
        </w:rPr>
        <w:t>General Client Responsibilities</w:t>
      </w:r>
      <w:bookmarkEnd w:id="66"/>
      <w:bookmarkEnd w:id="67"/>
      <w:r w:rsidRPr="00E66AB8">
        <w:rPr>
          <w:rFonts w:asciiTheme="minorHAnsi" w:hAnsiTheme="minorHAnsi"/>
          <w:color w:val="000000"/>
        </w:rPr>
        <w:t xml:space="preserve"> </w:t>
      </w:r>
    </w:p>
    <w:p w14:paraId="65F67A52" w14:textId="77777777" w:rsidR="00C23767" w:rsidRPr="00E66AB8" w:rsidRDefault="005A7438" w:rsidP="00113465">
      <w:pPr>
        <w:pStyle w:val="Heading3"/>
        <w:ind w:left="90"/>
        <w:rPr>
          <w:rFonts w:asciiTheme="minorHAnsi" w:hAnsiTheme="minorHAnsi"/>
        </w:rPr>
      </w:pPr>
      <w:bookmarkStart w:id="68" w:name="_Toc232428866"/>
      <w:bookmarkStart w:id="69" w:name="_Toc232497737"/>
      <w:r w:rsidRPr="00E66AB8">
        <w:rPr>
          <w:rFonts w:asciiTheme="minorHAnsi" w:hAnsiTheme="minorHAnsi"/>
        </w:rPr>
        <w:t>Authority to Grant Access</w:t>
      </w:r>
      <w:bookmarkEnd w:id="68"/>
      <w:bookmarkEnd w:id="69"/>
      <w:r w:rsidRPr="00E66AB8">
        <w:rPr>
          <w:rFonts w:asciiTheme="minorHAnsi" w:hAnsiTheme="minorHAnsi"/>
          <w:color w:val="000000"/>
        </w:rPr>
        <w:t xml:space="preserve"> </w:t>
      </w:r>
    </w:p>
    <w:p w14:paraId="3BBF89DC"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rebuchet MS" w:hAnsiTheme="minorHAnsi" w:cs="Trebuchet MS"/>
          <w:b/>
          <w:i/>
          <w:sz w:val="22"/>
        </w:rPr>
        <w:t xml:space="preserve"> </w:t>
      </w:r>
    </w:p>
    <w:p w14:paraId="759E086C" w14:textId="77777777" w:rsidR="00A46761" w:rsidRPr="00E66AB8" w:rsidRDefault="00A46761" w:rsidP="00113465">
      <w:pPr>
        <w:spacing w:after="10"/>
        <w:ind w:left="90" w:right="25"/>
        <w:rPr>
          <w:rFonts w:asciiTheme="minorHAnsi" w:hAnsiTheme="minorHAnsi"/>
        </w:rPr>
      </w:pPr>
      <w:r w:rsidRPr="00E66AB8">
        <w:rPr>
          <w:rFonts w:asciiTheme="minorHAnsi" w:hAnsiTheme="minorHAnsi"/>
        </w:rPr>
        <w:t>Client may need to obtain permission for PacketWatch to access and use Client-owned or licensed software, hardware, systems, and data for the purpose of providing the Services. Client is responsible for ensuring that it has all necessary rights, permissions, notices, consents, and authorizations required for PacketWatch to access systems and process data as contemplated by the governing agreement and the Services ordered.</w:t>
      </w:r>
    </w:p>
    <w:p w14:paraId="4F6273C3" w14:textId="77777777" w:rsidR="00C23767" w:rsidRPr="00E66AB8" w:rsidRDefault="005A7438" w:rsidP="00113465">
      <w:pPr>
        <w:spacing w:after="5" w:line="259" w:lineRule="auto"/>
        <w:ind w:left="90" w:firstLine="0"/>
        <w:jc w:val="left"/>
        <w:rPr>
          <w:rFonts w:asciiTheme="minorHAnsi" w:hAnsiTheme="minorHAnsi"/>
        </w:rPr>
      </w:pPr>
      <w:r w:rsidRPr="00E66AB8">
        <w:rPr>
          <w:rFonts w:asciiTheme="minorHAnsi" w:hAnsiTheme="minorHAnsi"/>
        </w:rPr>
        <w:t xml:space="preserve"> </w:t>
      </w:r>
    </w:p>
    <w:p w14:paraId="0EFFE67F" w14:textId="77777777" w:rsidR="00C23767" w:rsidRPr="00E66AB8" w:rsidRDefault="005A7438" w:rsidP="00113465">
      <w:pPr>
        <w:pStyle w:val="Heading3"/>
        <w:ind w:left="90"/>
        <w:rPr>
          <w:rFonts w:asciiTheme="minorHAnsi" w:hAnsiTheme="minorHAnsi"/>
        </w:rPr>
      </w:pPr>
      <w:bookmarkStart w:id="70" w:name="_Toc232428867"/>
      <w:bookmarkStart w:id="71" w:name="_Toc232497738"/>
      <w:r w:rsidRPr="00E66AB8">
        <w:rPr>
          <w:rFonts w:asciiTheme="minorHAnsi" w:hAnsiTheme="minorHAnsi"/>
        </w:rPr>
        <w:t>Non-solicitation</w:t>
      </w:r>
      <w:bookmarkEnd w:id="70"/>
      <w:bookmarkEnd w:id="71"/>
      <w:r w:rsidRPr="00E66AB8">
        <w:rPr>
          <w:rFonts w:asciiTheme="minorHAnsi" w:hAnsiTheme="minorHAnsi"/>
          <w:color w:val="000000"/>
        </w:rPr>
        <w:t xml:space="preserve"> </w:t>
      </w:r>
    </w:p>
    <w:p w14:paraId="0A3A43C6"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rebuchet MS" w:hAnsiTheme="minorHAnsi" w:cs="Trebuchet MS"/>
          <w:b/>
          <w:i/>
          <w:sz w:val="22"/>
        </w:rPr>
        <w:t xml:space="preserve"> </w:t>
      </w:r>
    </w:p>
    <w:p w14:paraId="7B66BD2C" w14:textId="77777777" w:rsidR="00243B9A" w:rsidRDefault="00243B9A">
      <w:pPr>
        <w:spacing w:after="10"/>
        <w:ind w:left="90" w:right="25"/>
        <w:rPr>
          <w:kern w:val="0"/>
          <w:szCs w:val="20"/>
          <w14:ligatures w14:val="none"/>
        </w:rPr>
      </w:pPr>
      <w:r>
        <w:rPr>
          <w:rFonts w:ascii="Aptos" w:hAnsi="Aptos"/>
        </w:rPr>
        <w:t xml:space="preserve">Where allowed by law, Client will not, without </w:t>
      </w:r>
      <w:proofErr w:type="spellStart"/>
      <w:r>
        <w:rPr>
          <w:rFonts w:ascii="Aptos" w:hAnsi="Aptos"/>
        </w:rPr>
        <w:t>PacketWatch’s</w:t>
      </w:r>
      <w:proofErr w:type="spellEnd"/>
      <w:r>
        <w:rPr>
          <w:rFonts w:ascii="Aptos" w:hAnsi="Aptos"/>
        </w:rPr>
        <w:t xml:space="preserve"> prior written consent, for a period of two years from the date listed on the applicable Order, directly or indirectly solicit for employment any PacketWatch employee with whom Client has come in contact in connection with </w:t>
      </w:r>
      <w:proofErr w:type="spellStart"/>
      <w:r>
        <w:rPr>
          <w:rFonts w:ascii="Aptos" w:hAnsi="Aptos"/>
        </w:rPr>
        <w:t>PacketWatch’s</w:t>
      </w:r>
      <w:proofErr w:type="spellEnd"/>
      <w:r>
        <w:rPr>
          <w:rFonts w:ascii="Aptos" w:hAnsi="Aptos"/>
        </w:rPr>
        <w:t xml:space="preserve"> performance of the Services; provided, however, that general advertisements and other similarly broad forms of solicitation will not constitute direct or indirect solicitation hereunder, and Client may solicit for employment any employee whose employment with PacketWatch has terminated before the commencement of employment discussions with Client.</w:t>
      </w:r>
    </w:p>
    <w:p w14:paraId="499FFEAC" w14:textId="77777777" w:rsidR="00C23767" w:rsidRPr="00E66AB8" w:rsidRDefault="005A7438" w:rsidP="00113465">
      <w:pPr>
        <w:spacing w:after="2" w:line="259" w:lineRule="auto"/>
        <w:ind w:left="90" w:firstLine="0"/>
        <w:jc w:val="left"/>
        <w:rPr>
          <w:rFonts w:asciiTheme="minorHAnsi" w:hAnsiTheme="minorHAnsi"/>
        </w:rPr>
      </w:pPr>
      <w:r w:rsidRPr="00E66AB8">
        <w:rPr>
          <w:rFonts w:asciiTheme="minorHAnsi" w:hAnsiTheme="minorHAnsi"/>
        </w:rPr>
        <w:t xml:space="preserve"> </w:t>
      </w:r>
    </w:p>
    <w:p w14:paraId="19F9E3EE" w14:textId="77777777" w:rsidR="00C23767" w:rsidRPr="00E66AB8" w:rsidRDefault="005A7438" w:rsidP="00113465">
      <w:pPr>
        <w:pStyle w:val="Heading3"/>
        <w:ind w:left="90"/>
        <w:rPr>
          <w:rFonts w:asciiTheme="minorHAnsi" w:hAnsiTheme="minorHAnsi"/>
        </w:rPr>
      </w:pPr>
      <w:bookmarkStart w:id="72" w:name="_Toc232428868"/>
      <w:bookmarkStart w:id="73" w:name="_Toc232497739"/>
      <w:r w:rsidRPr="00E66AB8">
        <w:rPr>
          <w:rFonts w:asciiTheme="minorHAnsi" w:hAnsiTheme="minorHAnsi"/>
        </w:rPr>
        <w:t>Data Backups</w:t>
      </w:r>
      <w:bookmarkEnd w:id="72"/>
      <w:bookmarkEnd w:id="73"/>
      <w:r w:rsidRPr="00E66AB8">
        <w:rPr>
          <w:rFonts w:asciiTheme="minorHAnsi" w:hAnsiTheme="minorHAnsi"/>
          <w:color w:val="000000"/>
        </w:rPr>
        <w:t xml:space="preserve"> </w:t>
      </w:r>
    </w:p>
    <w:p w14:paraId="22A9D3F7"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rebuchet MS" w:hAnsiTheme="minorHAnsi" w:cs="Trebuchet MS"/>
          <w:b/>
          <w:i/>
          <w:sz w:val="22"/>
        </w:rPr>
        <w:t xml:space="preserve"> </w:t>
      </w:r>
    </w:p>
    <w:p w14:paraId="00D917D4" w14:textId="77777777" w:rsidR="00243B9A" w:rsidRDefault="00243B9A">
      <w:pPr>
        <w:ind w:left="90" w:right="25"/>
        <w:rPr>
          <w:kern w:val="0"/>
          <w:szCs w:val="20"/>
          <w14:ligatures w14:val="none"/>
        </w:rPr>
      </w:pPr>
      <w:bookmarkStart w:id="74" w:name="_Toc232428869"/>
      <w:r>
        <w:rPr>
          <w:rFonts w:ascii="Aptos" w:hAnsi="Aptos"/>
        </w:rPr>
        <w:t>Client is responsible for performing and testing all backups of existing data, software, and programs on all affected systems prior to installation of any agents and during the delivery of the Services. PacketWatch is not responsible for the restoration of data or the reinstallation of any operating systems or applications.</w:t>
      </w:r>
    </w:p>
    <w:p w14:paraId="64DE8CBB" w14:textId="77777777" w:rsidR="00C23767" w:rsidRPr="00E66AB8" w:rsidRDefault="005A7438" w:rsidP="00113465">
      <w:pPr>
        <w:pStyle w:val="Heading3"/>
        <w:ind w:left="90"/>
        <w:rPr>
          <w:rFonts w:asciiTheme="minorHAnsi" w:hAnsiTheme="minorHAnsi"/>
        </w:rPr>
      </w:pPr>
      <w:bookmarkStart w:id="75" w:name="_Toc232497740"/>
      <w:r w:rsidRPr="00E66AB8">
        <w:rPr>
          <w:rFonts w:asciiTheme="minorHAnsi" w:hAnsiTheme="minorHAnsi"/>
        </w:rPr>
        <w:t>Sensitive Data</w:t>
      </w:r>
      <w:bookmarkEnd w:id="74"/>
      <w:bookmarkEnd w:id="75"/>
      <w:r w:rsidRPr="00E66AB8">
        <w:rPr>
          <w:rFonts w:asciiTheme="minorHAnsi" w:hAnsiTheme="minorHAnsi"/>
          <w:color w:val="000000"/>
        </w:rPr>
        <w:t xml:space="preserve"> </w:t>
      </w:r>
    </w:p>
    <w:p w14:paraId="48C9D1A7"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rebuchet MS" w:hAnsiTheme="minorHAnsi" w:cs="Trebuchet MS"/>
          <w:b/>
          <w:i/>
          <w:sz w:val="22"/>
        </w:rPr>
        <w:t xml:space="preserve"> </w:t>
      </w:r>
    </w:p>
    <w:p w14:paraId="0B91044F" w14:textId="77777777" w:rsidR="00A46761" w:rsidRDefault="00A46761" w:rsidP="00113465">
      <w:pPr>
        <w:spacing w:after="329"/>
        <w:ind w:left="90" w:right="25"/>
        <w:rPr>
          <w:rFonts w:asciiTheme="minorHAnsi" w:hAnsiTheme="minorHAnsi"/>
        </w:rPr>
      </w:pPr>
      <w:r w:rsidRPr="00E66AB8">
        <w:rPr>
          <w:rFonts w:asciiTheme="minorHAnsi" w:hAnsiTheme="minorHAnsi"/>
        </w:rPr>
        <w:t>"</w:t>
      </w:r>
      <w:r w:rsidRPr="00E66AB8">
        <w:rPr>
          <w:rFonts w:asciiTheme="minorHAnsi" w:hAnsiTheme="minorHAnsi" w:cs="Arial"/>
        </w:rPr>
        <w:t>Sensitive</w:t>
      </w:r>
      <w:r w:rsidRPr="00E66AB8">
        <w:rPr>
          <w:rFonts w:asciiTheme="minorHAnsi" w:hAnsiTheme="minorHAnsi"/>
        </w:rPr>
        <w:t xml:space="preserve"> </w:t>
      </w:r>
      <w:r w:rsidRPr="00E66AB8">
        <w:rPr>
          <w:rFonts w:asciiTheme="minorHAnsi" w:hAnsiTheme="minorHAnsi" w:cs="Arial"/>
        </w:rPr>
        <w:t>Data</w:t>
      </w:r>
      <w:r w:rsidRPr="00E66AB8">
        <w:rPr>
          <w:rFonts w:asciiTheme="minorHAnsi" w:hAnsiTheme="minorHAnsi"/>
        </w:rPr>
        <w:t>" means: (</w:t>
      </w:r>
      <w:proofErr w:type="spellStart"/>
      <w:r w:rsidRPr="00E66AB8">
        <w:rPr>
          <w:rFonts w:asciiTheme="minorHAnsi" w:hAnsiTheme="minorHAnsi"/>
        </w:rPr>
        <w:t>i</w:t>
      </w:r>
      <w:proofErr w:type="spellEnd"/>
      <w:r w:rsidRPr="00E66AB8">
        <w:rPr>
          <w:rFonts w:asciiTheme="minorHAnsi" w:hAnsiTheme="minorHAnsi"/>
        </w:rPr>
        <w:t xml:space="preserve">) sensitive or classified data, including related software or technical data; (ii) defense articles, defense services, or related technical data; (iii) ITAR-controlled data; (iv) protected health information (PHI); and (v) personally identifiable information or other regulated data subject to </w:t>
      </w:r>
      <w:r w:rsidRPr="00E66AB8">
        <w:rPr>
          <w:rFonts w:asciiTheme="minorHAnsi" w:hAnsiTheme="minorHAnsi" w:cs="Arial"/>
        </w:rPr>
        <w:t xml:space="preserve">heightened security requirements </w:t>
      </w:r>
      <w:r w:rsidRPr="00E66AB8">
        <w:rPr>
          <w:rFonts w:asciiTheme="minorHAnsi" w:hAnsiTheme="minorHAnsi"/>
        </w:rPr>
        <w:t>under</w:t>
      </w:r>
      <w:r w:rsidRPr="00E66AB8">
        <w:rPr>
          <w:rFonts w:asciiTheme="minorHAnsi" w:hAnsiTheme="minorHAnsi" w:cs="Arial"/>
        </w:rPr>
        <w:t xml:space="preserve"> Client’s internal policies, industry</w:t>
      </w:r>
      <w:r w:rsidRPr="00E66AB8">
        <w:rPr>
          <w:rFonts w:asciiTheme="minorHAnsi" w:hAnsiTheme="minorHAnsi"/>
        </w:rPr>
        <w:t>-specific standards, contract obligations, or applicable law. Client acknowledges that the Services are not designed by default for Sensitive Data environments unless expressly agreed in writing. Client is solely responsible for reviewing the data, systems, and environments it makes available to PacketWatch to ensure they are appropriate for the Services ordered. If Sensitive Data will be involved, that should be identified in advance and reflected in the applicable Order or other written agreement, together with any required security, handling, storage, access, or environment requirements.</w:t>
      </w:r>
    </w:p>
    <w:p w14:paraId="63D2FFEF" w14:textId="49A66BF2" w:rsidR="00C33D86" w:rsidRPr="00E66AB8" w:rsidRDefault="00C33D86" w:rsidP="00C33D86">
      <w:pPr>
        <w:spacing w:after="329"/>
        <w:ind w:left="0" w:right="25" w:firstLine="0"/>
        <w:rPr>
          <w:rFonts w:asciiTheme="minorHAnsi" w:hAnsiTheme="minorHAnsi"/>
        </w:rPr>
      </w:pPr>
      <w:r>
        <w:rPr>
          <w:rFonts w:asciiTheme="minorHAnsi" w:hAnsiTheme="minorHAnsi"/>
        </w:rPr>
        <w:br w:type="column"/>
      </w:r>
    </w:p>
    <w:p w14:paraId="7AD7B2A6" w14:textId="77777777" w:rsidR="00F04182" w:rsidRDefault="00F04182" w:rsidP="00113465">
      <w:pPr>
        <w:pStyle w:val="Heading1"/>
        <w:spacing w:after="35"/>
        <w:ind w:left="90"/>
      </w:pPr>
      <w:bookmarkStart w:id="76" w:name="_Toc232428870"/>
      <w:bookmarkStart w:id="77" w:name="_Toc232497741"/>
      <w:r w:rsidRPr="00E66AB8">
        <w:rPr>
          <w:rFonts w:asciiTheme="minorHAnsi" w:hAnsiTheme="minorHAnsi"/>
        </w:rPr>
        <w:t xml:space="preserve">Exhibit </w:t>
      </w:r>
      <w:r>
        <w:rPr>
          <w:rFonts w:ascii="Aptos" w:hAnsi="Aptos"/>
        </w:rPr>
        <w:t>A</w:t>
      </w:r>
      <w:r w:rsidRPr="00E66AB8">
        <w:rPr>
          <w:rFonts w:asciiTheme="minorHAnsi" w:hAnsiTheme="minorHAnsi"/>
        </w:rPr>
        <w:t>: EDR Application Management – Shared Model RACI Matrix</w:t>
      </w:r>
      <w:bookmarkEnd w:id="76"/>
      <w:bookmarkEnd w:id="77"/>
      <w:r w:rsidRPr="00E66AB8">
        <w:rPr>
          <w:rFonts w:asciiTheme="minorHAnsi" w:hAnsiTheme="minorHAnsi"/>
          <w:color w:val="000000"/>
        </w:rPr>
        <w:t xml:space="preserve"> </w:t>
      </w:r>
    </w:p>
    <w:p w14:paraId="015726A8"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cs="Arial"/>
          <w:b/>
        </w:rPr>
        <w:t xml:space="preserve"> </w:t>
      </w:r>
    </w:p>
    <w:tbl>
      <w:tblPr>
        <w:tblStyle w:val="TableGrid"/>
        <w:tblW w:w="9399" w:type="dxa"/>
        <w:tblInd w:w="-10" w:type="dxa"/>
        <w:tblCellMar>
          <w:top w:w="64" w:type="dxa"/>
          <w:left w:w="5" w:type="dxa"/>
          <w:right w:w="19" w:type="dxa"/>
        </w:tblCellMar>
        <w:tblLook w:val="04A0" w:firstRow="1" w:lastRow="0" w:firstColumn="1" w:lastColumn="0" w:noHBand="0" w:noVBand="1"/>
      </w:tblPr>
      <w:tblGrid>
        <w:gridCol w:w="718"/>
        <w:gridCol w:w="1678"/>
        <w:gridCol w:w="796"/>
        <w:gridCol w:w="974"/>
        <w:gridCol w:w="891"/>
        <w:gridCol w:w="989"/>
        <w:gridCol w:w="1169"/>
        <w:gridCol w:w="1140"/>
        <w:gridCol w:w="1044"/>
      </w:tblGrid>
      <w:tr w:rsidR="00C23767" w:rsidRPr="00E66AB8" w14:paraId="54308A52" w14:textId="77777777" w:rsidTr="00113465">
        <w:trPr>
          <w:trHeight w:val="576"/>
        </w:trPr>
        <w:tc>
          <w:tcPr>
            <w:tcW w:w="9399" w:type="dxa"/>
            <w:gridSpan w:val="9"/>
            <w:tcBorders>
              <w:top w:val="single" w:sz="4" w:space="0" w:color="000000"/>
              <w:left w:val="single" w:sz="4" w:space="0" w:color="000000"/>
              <w:bottom w:val="single" w:sz="2" w:space="0" w:color="4471C4"/>
              <w:right w:val="single" w:sz="4" w:space="0" w:color="000000"/>
            </w:tcBorders>
            <w:shd w:val="clear" w:color="auto" w:fill="808080"/>
          </w:tcPr>
          <w:p w14:paraId="35EA5E55" w14:textId="77777777" w:rsidR="00D6609D" w:rsidRDefault="00D6609D">
            <w:pPr>
              <w:spacing w:after="0" w:line="256" w:lineRule="auto"/>
              <w:ind w:left="90" w:firstLine="0"/>
              <w:rPr>
                <w:kern w:val="0"/>
                <w:szCs w:val="20"/>
                <w14:ligatures w14:val="none"/>
              </w:rPr>
            </w:pPr>
            <w:r>
              <w:rPr>
                <w:rFonts w:ascii="Aptos" w:hAnsi="Aptos"/>
                <w:color w:val="FFFFFF"/>
                <w:sz w:val="21"/>
                <w:szCs w:val="21"/>
              </w:rPr>
              <w:t>PacketWatch Professional Services Description - RACI Matrix for EDR Procured from PacketWatch</w:t>
            </w:r>
            <w:r>
              <w:rPr>
                <w:rFonts w:ascii="Aptos" w:hAnsi="Aptos"/>
                <w:sz w:val="21"/>
                <w:szCs w:val="21"/>
              </w:rPr>
              <w:t xml:space="preserve"> </w:t>
            </w:r>
          </w:p>
          <w:p w14:paraId="0772A4FF" w14:textId="03462AF3" w:rsidR="00C23767" w:rsidRPr="00E66AB8" w:rsidRDefault="00C23767" w:rsidP="00113465">
            <w:pPr>
              <w:spacing w:after="0" w:line="259" w:lineRule="auto"/>
              <w:ind w:left="90" w:firstLine="0"/>
              <w:rPr>
                <w:rFonts w:asciiTheme="minorHAnsi" w:hAnsiTheme="minorHAnsi"/>
              </w:rPr>
            </w:pPr>
          </w:p>
        </w:tc>
      </w:tr>
      <w:tr w:rsidR="00C23767" w:rsidRPr="00E66AB8" w14:paraId="1BF635CB" w14:textId="77777777" w:rsidTr="00113465">
        <w:trPr>
          <w:trHeight w:val="513"/>
        </w:trPr>
        <w:tc>
          <w:tcPr>
            <w:tcW w:w="718" w:type="dxa"/>
            <w:tcBorders>
              <w:top w:val="double" w:sz="6" w:space="0" w:color="000000"/>
              <w:left w:val="single" w:sz="4" w:space="0" w:color="000000"/>
              <w:bottom w:val="double" w:sz="6" w:space="0" w:color="000000"/>
              <w:right w:val="double" w:sz="6" w:space="0" w:color="000000"/>
            </w:tcBorders>
            <w:shd w:val="clear" w:color="auto" w:fill="808080"/>
          </w:tcPr>
          <w:p w14:paraId="653741A3"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678" w:type="dxa"/>
            <w:tcBorders>
              <w:top w:val="double" w:sz="6" w:space="0" w:color="000000"/>
              <w:left w:val="double" w:sz="6" w:space="0" w:color="000000"/>
              <w:bottom w:val="double" w:sz="6" w:space="0" w:color="000000"/>
              <w:right w:val="double" w:sz="6" w:space="0" w:color="000000"/>
            </w:tcBorders>
            <w:shd w:val="clear" w:color="auto" w:fill="808080"/>
          </w:tcPr>
          <w:p w14:paraId="13DDF212"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2661" w:type="dxa"/>
            <w:gridSpan w:val="3"/>
            <w:tcBorders>
              <w:top w:val="double" w:sz="6" w:space="0" w:color="000000"/>
              <w:left w:val="double" w:sz="6" w:space="0" w:color="000000"/>
              <w:bottom w:val="double" w:sz="6" w:space="0" w:color="000000"/>
              <w:right w:val="double" w:sz="6" w:space="0" w:color="000000"/>
            </w:tcBorders>
            <w:shd w:val="clear" w:color="auto" w:fill="6FAC46"/>
            <w:vAlign w:val="center"/>
          </w:tcPr>
          <w:p w14:paraId="449C4693"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cs="Arial"/>
                <w:b/>
                <w:color w:val="FFFFFF"/>
                <w:sz w:val="16"/>
              </w:rPr>
              <w:t>Client</w:t>
            </w:r>
            <w:r w:rsidRPr="00E66AB8">
              <w:rPr>
                <w:rFonts w:asciiTheme="minorHAnsi" w:hAnsiTheme="minorHAnsi" w:cs="Arial"/>
                <w:b/>
                <w:sz w:val="16"/>
              </w:rPr>
              <w:t xml:space="preserve"> </w:t>
            </w:r>
          </w:p>
        </w:tc>
        <w:tc>
          <w:tcPr>
            <w:tcW w:w="4342" w:type="dxa"/>
            <w:gridSpan w:val="4"/>
            <w:tcBorders>
              <w:top w:val="single" w:sz="2" w:space="0" w:color="4471C4"/>
              <w:left w:val="double" w:sz="6" w:space="0" w:color="000000"/>
              <w:bottom w:val="double" w:sz="6" w:space="0" w:color="000000"/>
              <w:right w:val="single" w:sz="4" w:space="0" w:color="000000"/>
            </w:tcBorders>
            <w:shd w:val="clear" w:color="auto" w:fill="4471C4"/>
            <w:vAlign w:val="center"/>
          </w:tcPr>
          <w:p w14:paraId="3A4C4B6C"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cs="Arial"/>
                <w:b/>
                <w:color w:val="FFFFFF"/>
                <w:sz w:val="16"/>
              </w:rPr>
              <w:t>PacketWatch</w:t>
            </w:r>
            <w:r w:rsidRPr="00E66AB8">
              <w:rPr>
                <w:rFonts w:asciiTheme="minorHAnsi" w:hAnsiTheme="minorHAnsi" w:cs="Arial"/>
                <w:b/>
                <w:sz w:val="16"/>
              </w:rPr>
              <w:t xml:space="preserve"> </w:t>
            </w:r>
          </w:p>
        </w:tc>
      </w:tr>
      <w:tr w:rsidR="00C23767" w:rsidRPr="00E66AB8" w14:paraId="6FF449F2" w14:textId="77777777" w:rsidTr="00113465">
        <w:trPr>
          <w:trHeight w:val="871"/>
        </w:trPr>
        <w:tc>
          <w:tcPr>
            <w:tcW w:w="718" w:type="dxa"/>
            <w:tcBorders>
              <w:top w:val="double" w:sz="6" w:space="0" w:color="000000"/>
              <w:left w:val="single" w:sz="4" w:space="0" w:color="000000"/>
              <w:bottom w:val="double" w:sz="6" w:space="0" w:color="000000"/>
              <w:right w:val="double" w:sz="6" w:space="0" w:color="000000"/>
            </w:tcBorders>
          </w:tcPr>
          <w:p w14:paraId="4F7A7221"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Calibri" w:hAnsiTheme="minorHAnsi" w:cs="Calibri"/>
                <w:b/>
                <w:sz w:val="16"/>
              </w:rPr>
              <w:t xml:space="preserve">Process ID </w:t>
            </w:r>
          </w:p>
        </w:tc>
        <w:tc>
          <w:tcPr>
            <w:tcW w:w="1678" w:type="dxa"/>
            <w:tcBorders>
              <w:top w:val="double" w:sz="6" w:space="0" w:color="000000"/>
              <w:left w:val="double" w:sz="6" w:space="0" w:color="000000"/>
              <w:bottom w:val="double" w:sz="6" w:space="0" w:color="000000"/>
              <w:right w:val="double" w:sz="6" w:space="0" w:color="000000"/>
            </w:tcBorders>
          </w:tcPr>
          <w:p w14:paraId="27793D79" w14:textId="77777777" w:rsidR="00C23767" w:rsidRPr="00E66AB8" w:rsidRDefault="005A7438" w:rsidP="00113465">
            <w:pPr>
              <w:spacing w:after="0" w:line="259" w:lineRule="auto"/>
              <w:ind w:left="90" w:right="99" w:firstLine="0"/>
              <w:jc w:val="center"/>
              <w:rPr>
                <w:rFonts w:asciiTheme="minorHAnsi" w:hAnsiTheme="minorHAnsi"/>
              </w:rPr>
            </w:pPr>
            <w:r w:rsidRPr="00E66AB8">
              <w:rPr>
                <w:rFonts w:asciiTheme="minorHAnsi" w:eastAsia="Calibri" w:hAnsiTheme="minorHAnsi" w:cs="Calibri"/>
                <w:b/>
                <w:sz w:val="16"/>
              </w:rPr>
              <w:t xml:space="preserve">Activity </w:t>
            </w:r>
          </w:p>
        </w:tc>
        <w:tc>
          <w:tcPr>
            <w:tcW w:w="796" w:type="dxa"/>
            <w:tcBorders>
              <w:top w:val="double" w:sz="6" w:space="0" w:color="000000"/>
              <w:left w:val="double" w:sz="6" w:space="0" w:color="000000"/>
              <w:bottom w:val="double" w:sz="6" w:space="0" w:color="000000"/>
              <w:right w:val="double" w:sz="6" w:space="0" w:color="000000"/>
            </w:tcBorders>
          </w:tcPr>
          <w:p w14:paraId="71380A7E" w14:textId="77777777" w:rsidR="00C23767" w:rsidRPr="00E66AB8" w:rsidRDefault="005A7438" w:rsidP="00113465">
            <w:pPr>
              <w:spacing w:after="4" w:line="259" w:lineRule="auto"/>
              <w:ind w:left="90" w:firstLine="0"/>
              <w:jc w:val="left"/>
              <w:rPr>
                <w:rFonts w:asciiTheme="minorHAnsi" w:hAnsiTheme="minorHAnsi"/>
              </w:rPr>
            </w:pPr>
            <w:r w:rsidRPr="00E66AB8">
              <w:rPr>
                <w:rFonts w:asciiTheme="minorHAnsi" w:eastAsia="Calibri" w:hAnsiTheme="minorHAnsi" w:cs="Calibri"/>
                <w:b/>
                <w:sz w:val="16"/>
              </w:rPr>
              <w:t xml:space="preserve">Business </w:t>
            </w:r>
          </w:p>
          <w:p w14:paraId="0DF7852E" w14:textId="77777777" w:rsidR="00C23767" w:rsidRPr="00E66AB8" w:rsidRDefault="005A7438" w:rsidP="00113465">
            <w:pPr>
              <w:spacing w:after="0" w:line="259" w:lineRule="auto"/>
              <w:ind w:left="90" w:right="33" w:firstLine="0"/>
              <w:jc w:val="center"/>
              <w:rPr>
                <w:rFonts w:asciiTheme="minorHAnsi" w:hAnsiTheme="minorHAnsi"/>
              </w:rPr>
            </w:pPr>
            <w:r w:rsidRPr="00E66AB8">
              <w:rPr>
                <w:rFonts w:asciiTheme="minorHAnsi" w:eastAsia="Calibri" w:hAnsiTheme="minorHAnsi" w:cs="Calibri"/>
                <w:b/>
                <w:sz w:val="16"/>
              </w:rPr>
              <w:t xml:space="preserve">POC </w:t>
            </w:r>
          </w:p>
        </w:tc>
        <w:tc>
          <w:tcPr>
            <w:tcW w:w="974" w:type="dxa"/>
            <w:tcBorders>
              <w:top w:val="double" w:sz="6" w:space="0" w:color="000000"/>
              <w:left w:val="double" w:sz="6" w:space="0" w:color="000000"/>
              <w:bottom w:val="double" w:sz="6" w:space="0" w:color="000000"/>
              <w:right w:val="double" w:sz="6" w:space="0" w:color="000000"/>
            </w:tcBorders>
          </w:tcPr>
          <w:p w14:paraId="6BBCDD7F"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Calibri" w:hAnsiTheme="minorHAnsi" w:cs="Calibri"/>
                <w:b/>
                <w:sz w:val="16"/>
              </w:rPr>
              <w:t xml:space="preserve">Technical POC </w:t>
            </w:r>
          </w:p>
        </w:tc>
        <w:tc>
          <w:tcPr>
            <w:tcW w:w="891" w:type="dxa"/>
            <w:tcBorders>
              <w:top w:val="double" w:sz="6" w:space="0" w:color="000000"/>
              <w:left w:val="double" w:sz="6" w:space="0" w:color="000000"/>
              <w:bottom w:val="double" w:sz="6" w:space="0" w:color="000000"/>
              <w:right w:val="double" w:sz="6" w:space="0" w:color="000000"/>
            </w:tcBorders>
          </w:tcPr>
          <w:p w14:paraId="478A3C49" w14:textId="77777777" w:rsidR="00C23767" w:rsidRPr="00E66AB8" w:rsidRDefault="005A7438" w:rsidP="00113465">
            <w:pPr>
              <w:spacing w:after="4" w:line="259" w:lineRule="auto"/>
              <w:ind w:left="90" w:firstLine="0"/>
              <w:jc w:val="left"/>
              <w:rPr>
                <w:rFonts w:asciiTheme="minorHAnsi" w:hAnsiTheme="minorHAnsi"/>
              </w:rPr>
            </w:pPr>
            <w:r w:rsidRPr="00E66AB8">
              <w:rPr>
                <w:rFonts w:asciiTheme="minorHAnsi" w:eastAsia="Calibri" w:hAnsiTheme="minorHAnsi" w:cs="Calibri"/>
                <w:b/>
                <w:sz w:val="16"/>
              </w:rPr>
              <w:t xml:space="preserve">Security </w:t>
            </w:r>
          </w:p>
          <w:p w14:paraId="1D378C9F" w14:textId="77777777" w:rsidR="00C23767" w:rsidRPr="00E66AB8" w:rsidRDefault="005A7438" w:rsidP="00113465">
            <w:pPr>
              <w:spacing w:after="0" w:line="259" w:lineRule="auto"/>
              <w:ind w:left="90" w:right="29" w:firstLine="0"/>
              <w:jc w:val="center"/>
              <w:rPr>
                <w:rFonts w:asciiTheme="minorHAnsi" w:hAnsiTheme="minorHAnsi"/>
              </w:rPr>
            </w:pPr>
            <w:r w:rsidRPr="00E66AB8">
              <w:rPr>
                <w:rFonts w:asciiTheme="minorHAnsi" w:eastAsia="Calibri" w:hAnsiTheme="minorHAnsi" w:cs="Calibri"/>
                <w:b/>
                <w:sz w:val="16"/>
              </w:rPr>
              <w:t xml:space="preserve">POC </w:t>
            </w:r>
          </w:p>
        </w:tc>
        <w:tc>
          <w:tcPr>
            <w:tcW w:w="989" w:type="dxa"/>
            <w:tcBorders>
              <w:top w:val="double" w:sz="6" w:space="0" w:color="000000"/>
              <w:left w:val="double" w:sz="6" w:space="0" w:color="000000"/>
              <w:bottom w:val="double" w:sz="6" w:space="0" w:color="000000"/>
              <w:right w:val="double" w:sz="6" w:space="0" w:color="000000"/>
            </w:tcBorders>
          </w:tcPr>
          <w:p w14:paraId="771A69E7" w14:textId="77777777" w:rsidR="00C23767" w:rsidRPr="00E66AB8" w:rsidRDefault="005A7438" w:rsidP="00113465">
            <w:pPr>
              <w:spacing w:after="4" w:line="259" w:lineRule="auto"/>
              <w:ind w:left="90" w:firstLine="0"/>
              <w:jc w:val="left"/>
              <w:rPr>
                <w:rFonts w:asciiTheme="minorHAnsi" w:hAnsiTheme="minorHAnsi"/>
              </w:rPr>
            </w:pPr>
            <w:r w:rsidRPr="00E66AB8">
              <w:rPr>
                <w:rFonts w:asciiTheme="minorHAnsi" w:eastAsia="Calibri" w:hAnsiTheme="minorHAnsi" w:cs="Calibri"/>
                <w:b/>
                <w:sz w:val="16"/>
              </w:rPr>
              <w:t xml:space="preserve">Executive </w:t>
            </w:r>
          </w:p>
          <w:p w14:paraId="4B5DC152"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Calibri" w:hAnsiTheme="minorHAnsi" w:cs="Calibri"/>
                <w:b/>
                <w:sz w:val="16"/>
              </w:rPr>
              <w:t xml:space="preserve">Sponsor </w:t>
            </w:r>
          </w:p>
        </w:tc>
        <w:tc>
          <w:tcPr>
            <w:tcW w:w="1169" w:type="dxa"/>
            <w:tcBorders>
              <w:top w:val="double" w:sz="6" w:space="0" w:color="000000"/>
              <w:left w:val="double" w:sz="6" w:space="0" w:color="000000"/>
              <w:bottom w:val="double" w:sz="6" w:space="0" w:color="000000"/>
              <w:right w:val="double" w:sz="6" w:space="0" w:color="000000"/>
            </w:tcBorders>
          </w:tcPr>
          <w:p w14:paraId="66CE511C"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eastAsia="Calibri" w:hAnsiTheme="minorHAnsi" w:cs="Calibri"/>
                <w:b/>
                <w:sz w:val="16"/>
              </w:rPr>
              <w:t xml:space="preserve">PacketWatch </w:t>
            </w:r>
          </w:p>
          <w:p w14:paraId="140A95B6"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eastAsia="Calibri" w:hAnsiTheme="minorHAnsi" w:cs="Calibri"/>
                <w:b/>
                <w:sz w:val="16"/>
              </w:rPr>
              <w:t xml:space="preserve">Professional </w:t>
            </w:r>
          </w:p>
          <w:p w14:paraId="751E283A" w14:textId="77777777" w:rsidR="00C23767" w:rsidRPr="00E66AB8" w:rsidRDefault="005A7438" w:rsidP="00113465">
            <w:pPr>
              <w:spacing w:after="9" w:line="259" w:lineRule="auto"/>
              <w:ind w:left="90" w:firstLine="0"/>
              <w:jc w:val="center"/>
              <w:rPr>
                <w:rFonts w:asciiTheme="minorHAnsi" w:hAnsiTheme="minorHAnsi"/>
              </w:rPr>
            </w:pPr>
            <w:r w:rsidRPr="00E66AB8">
              <w:rPr>
                <w:rFonts w:asciiTheme="minorHAnsi" w:eastAsia="Calibri" w:hAnsiTheme="minorHAnsi" w:cs="Calibri"/>
                <w:b/>
                <w:sz w:val="16"/>
              </w:rPr>
              <w:t xml:space="preserve">Services </w:t>
            </w:r>
          </w:p>
          <w:p w14:paraId="20FA335B"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eastAsia="Calibri" w:hAnsiTheme="minorHAnsi" w:cs="Calibri"/>
                <w:b/>
                <w:sz w:val="16"/>
              </w:rPr>
              <w:t xml:space="preserve">Analyst </w:t>
            </w:r>
          </w:p>
        </w:tc>
        <w:tc>
          <w:tcPr>
            <w:tcW w:w="1140" w:type="dxa"/>
            <w:tcBorders>
              <w:top w:val="double" w:sz="6" w:space="0" w:color="000000"/>
              <w:left w:val="double" w:sz="6" w:space="0" w:color="000000"/>
              <w:bottom w:val="double" w:sz="6" w:space="0" w:color="000000"/>
              <w:right w:val="double" w:sz="6" w:space="0" w:color="000000"/>
            </w:tcBorders>
          </w:tcPr>
          <w:p w14:paraId="3990EE52" w14:textId="77777777" w:rsidR="00C23767" w:rsidRPr="00E66AB8" w:rsidRDefault="005A7438" w:rsidP="00113465">
            <w:pPr>
              <w:spacing w:after="0" w:line="259" w:lineRule="auto"/>
              <w:ind w:left="90" w:right="212" w:firstLine="0"/>
              <w:jc w:val="right"/>
              <w:rPr>
                <w:rFonts w:asciiTheme="minorHAnsi" w:hAnsiTheme="minorHAnsi"/>
              </w:rPr>
            </w:pPr>
            <w:r w:rsidRPr="00E66AB8">
              <w:rPr>
                <w:rFonts w:asciiTheme="minorHAnsi" w:eastAsia="Calibri" w:hAnsiTheme="minorHAnsi" w:cs="Calibri"/>
                <w:b/>
                <w:sz w:val="16"/>
              </w:rPr>
              <w:t xml:space="preserve">Incident Responder </w:t>
            </w:r>
          </w:p>
        </w:tc>
        <w:tc>
          <w:tcPr>
            <w:tcW w:w="1044" w:type="dxa"/>
            <w:tcBorders>
              <w:top w:val="double" w:sz="6" w:space="0" w:color="000000"/>
              <w:left w:val="double" w:sz="6" w:space="0" w:color="000000"/>
              <w:bottom w:val="double" w:sz="6" w:space="0" w:color="000000"/>
              <w:right w:val="single" w:sz="4" w:space="0" w:color="000000"/>
            </w:tcBorders>
          </w:tcPr>
          <w:p w14:paraId="0813857A" w14:textId="77777777" w:rsidR="00C23767" w:rsidRPr="00E66AB8" w:rsidRDefault="005A7438" w:rsidP="00113465">
            <w:pPr>
              <w:spacing w:after="0" w:line="259" w:lineRule="auto"/>
              <w:ind w:left="90" w:firstLine="281"/>
              <w:jc w:val="left"/>
              <w:rPr>
                <w:rFonts w:asciiTheme="minorHAnsi" w:hAnsiTheme="minorHAnsi"/>
              </w:rPr>
            </w:pPr>
            <w:r w:rsidRPr="00E66AB8">
              <w:rPr>
                <w:rFonts w:asciiTheme="minorHAnsi" w:eastAsia="Calibri" w:hAnsiTheme="minorHAnsi" w:cs="Calibri"/>
                <w:b/>
                <w:sz w:val="16"/>
              </w:rPr>
              <w:t xml:space="preserve">Sales Coordinator </w:t>
            </w:r>
          </w:p>
        </w:tc>
      </w:tr>
      <w:tr w:rsidR="00C23767" w:rsidRPr="00E66AB8" w14:paraId="51ED711A" w14:textId="77777777" w:rsidTr="00113465">
        <w:trPr>
          <w:trHeight w:val="586"/>
        </w:trPr>
        <w:tc>
          <w:tcPr>
            <w:tcW w:w="718" w:type="dxa"/>
            <w:tcBorders>
              <w:top w:val="double" w:sz="6" w:space="0" w:color="000000"/>
              <w:left w:val="single" w:sz="4" w:space="0" w:color="000000"/>
              <w:bottom w:val="double" w:sz="6" w:space="0" w:color="000000"/>
              <w:right w:val="double" w:sz="6" w:space="0" w:color="000000"/>
            </w:tcBorders>
            <w:vAlign w:val="center"/>
          </w:tcPr>
          <w:p w14:paraId="09C5C4B3"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1.1 </w:t>
            </w:r>
          </w:p>
        </w:tc>
        <w:tc>
          <w:tcPr>
            <w:tcW w:w="1678" w:type="dxa"/>
            <w:tcBorders>
              <w:top w:val="double" w:sz="6" w:space="0" w:color="000000"/>
              <w:left w:val="double" w:sz="6" w:space="0" w:color="000000"/>
              <w:bottom w:val="double" w:sz="6" w:space="0" w:color="000000"/>
              <w:right w:val="double" w:sz="6" w:space="0" w:color="000000"/>
            </w:tcBorders>
          </w:tcPr>
          <w:p w14:paraId="0317BD34" w14:textId="77777777" w:rsidR="00C23767" w:rsidRPr="00E66AB8" w:rsidRDefault="005A7438" w:rsidP="00113465">
            <w:pPr>
              <w:spacing w:after="50" w:line="259" w:lineRule="auto"/>
              <w:ind w:left="90" w:firstLine="0"/>
              <w:jc w:val="left"/>
              <w:rPr>
                <w:rFonts w:asciiTheme="minorHAnsi" w:hAnsiTheme="minorHAnsi"/>
              </w:rPr>
            </w:pPr>
            <w:r w:rsidRPr="00E66AB8">
              <w:rPr>
                <w:rFonts w:asciiTheme="minorHAnsi" w:hAnsiTheme="minorHAnsi"/>
                <w:sz w:val="16"/>
              </w:rPr>
              <w:t xml:space="preserve">Licensing and </w:t>
            </w:r>
          </w:p>
          <w:p w14:paraId="40C233E1"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Renewals </w:t>
            </w:r>
          </w:p>
        </w:tc>
        <w:tc>
          <w:tcPr>
            <w:tcW w:w="796" w:type="dxa"/>
            <w:tcBorders>
              <w:top w:val="double" w:sz="6" w:space="0" w:color="000000"/>
              <w:left w:val="double" w:sz="6" w:space="0" w:color="000000"/>
              <w:bottom w:val="double" w:sz="6" w:space="0" w:color="000000"/>
              <w:right w:val="double" w:sz="6" w:space="0" w:color="000000"/>
            </w:tcBorders>
            <w:vAlign w:val="center"/>
          </w:tcPr>
          <w:p w14:paraId="754D1D39"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974" w:type="dxa"/>
            <w:tcBorders>
              <w:top w:val="double" w:sz="6" w:space="0" w:color="000000"/>
              <w:left w:val="double" w:sz="6" w:space="0" w:color="000000"/>
              <w:bottom w:val="double" w:sz="6" w:space="0" w:color="000000"/>
              <w:right w:val="double" w:sz="6" w:space="0" w:color="000000"/>
            </w:tcBorders>
            <w:vAlign w:val="center"/>
          </w:tcPr>
          <w:p w14:paraId="2A67066D"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I </w:t>
            </w:r>
          </w:p>
        </w:tc>
        <w:tc>
          <w:tcPr>
            <w:tcW w:w="891" w:type="dxa"/>
            <w:tcBorders>
              <w:top w:val="double" w:sz="6" w:space="0" w:color="000000"/>
              <w:left w:val="double" w:sz="6" w:space="0" w:color="000000"/>
              <w:bottom w:val="double" w:sz="6" w:space="0" w:color="000000"/>
              <w:right w:val="double" w:sz="6" w:space="0" w:color="000000"/>
            </w:tcBorders>
            <w:vAlign w:val="center"/>
          </w:tcPr>
          <w:p w14:paraId="4D6E3AAB"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 </w:t>
            </w:r>
          </w:p>
        </w:tc>
        <w:tc>
          <w:tcPr>
            <w:tcW w:w="989" w:type="dxa"/>
            <w:tcBorders>
              <w:top w:val="double" w:sz="6" w:space="0" w:color="000000"/>
              <w:left w:val="double" w:sz="6" w:space="0" w:color="000000"/>
              <w:bottom w:val="double" w:sz="6" w:space="0" w:color="000000"/>
              <w:right w:val="double" w:sz="6" w:space="0" w:color="000000"/>
            </w:tcBorders>
            <w:vAlign w:val="center"/>
          </w:tcPr>
          <w:p w14:paraId="18CD9F5F"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A </w:t>
            </w:r>
          </w:p>
        </w:tc>
        <w:tc>
          <w:tcPr>
            <w:tcW w:w="1169" w:type="dxa"/>
            <w:tcBorders>
              <w:top w:val="double" w:sz="6" w:space="0" w:color="000000"/>
              <w:left w:val="double" w:sz="6" w:space="0" w:color="000000"/>
              <w:bottom w:val="double" w:sz="6" w:space="0" w:color="000000"/>
              <w:right w:val="double" w:sz="6" w:space="0" w:color="000000"/>
            </w:tcBorders>
            <w:vAlign w:val="center"/>
          </w:tcPr>
          <w:p w14:paraId="2367AC8C"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I </w:t>
            </w:r>
          </w:p>
        </w:tc>
        <w:tc>
          <w:tcPr>
            <w:tcW w:w="1140" w:type="dxa"/>
            <w:tcBorders>
              <w:top w:val="double" w:sz="6" w:space="0" w:color="000000"/>
              <w:left w:val="double" w:sz="6" w:space="0" w:color="000000"/>
              <w:bottom w:val="double" w:sz="6" w:space="0" w:color="000000"/>
              <w:right w:val="double" w:sz="6" w:space="0" w:color="000000"/>
            </w:tcBorders>
          </w:tcPr>
          <w:p w14:paraId="5B5330B4"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044" w:type="dxa"/>
            <w:tcBorders>
              <w:top w:val="double" w:sz="6" w:space="0" w:color="000000"/>
              <w:left w:val="double" w:sz="6" w:space="0" w:color="000000"/>
              <w:bottom w:val="double" w:sz="6" w:space="0" w:color="000000"/>
              <w:right w:val="single" w:sz="4" w:space="0" w:color="000000"/>
            </w:tcBorders>
            <w:vAlign w:val="center"/>
          </w:tcPr>
          <w:p w14:paraId="21804BEC"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 </w:t>
            </w:r>
          </w:p>
        </w:tc>
      </w:tr>
      <w:tr w:rsidR="00C23767" w:rsidRPr="00E66AB8" w14:paraId="2D3A14AF" w14:textId="77777777" w:rsidTr="00113465">
        <w:trPr>
          <w:trHeight w:val="518"/>
        </w:trPr>
        <w:tc>
          <w:tcPr>
            <w:tcW w:w="718" w:type="dxa"/>
            <w:tcBorders>
              <w:top w:val="double" w:sz="6" w:space="0" w:color="000000"/>
              <w:left w:val="single" w:sz="4" w:space="0" w:color="000000"/>
              <w:bottom w:val="double" w:sz="6" w:space="0" w:color="000000"/>
              <w:right w:val="double" w:sz="6" w:space="0" w:color="000000"/>
            </w:tcBorders>
            <w:vAlign w:val="center"/>
          </w:tcPr>
          <w:p w14:paraId="1D18E084"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2.1 </w:t>
            </w:r>
          </w:p>
        </w:tc>
        <w:tc>
          <w:tcPr>
            <w:tcW w:w="1678" w:type="dxa"/>
            <w:tcBorders>
              <w:top w:val="double" w:sz="6" w:space="0" w:color="000000"/>
              <w:left w:val="double" w:sz="6" w:space="0" w:color="000000"/>
              <w:bottom w:val="double" w:sz="6" w:space="0" w:color="000000"/>
              <w:right w:val="double" w:sz="6" w:space="0" w:color="000000"/>
            </w:tcBorders>
            <w:vAlign w:val="center"/>
          </w:tcPr>
          <w:p w14:paraId="5E69FB46"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Deployment </w:t>
            </w:r>
          </w:p>
        </w:tc>
        <w:tc>
          <w:tcPr>
            <w:tcW w:w="796" w:type="dxa"/>
            <w:tcBorders>
              <w:top w:val="double" w:sz="6" w:space="0" w:color="000000"/>
              <w:left w:val="double" w:sz="6" w:space="0" w:color="000000"/>
              <w:bottom w:val="double" w:sz="6" w:space="0" w:color="000000"/>
              <w:right w:val="double" w:sz="6" w:space="0" w:color="000000"/>
            </w:tcBorders>
          </w:tcPr>
          <w:p w14:paraId="22D985AC"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974" w:type="dxa"/>
            <w:tcBorders>
              <w:top w:val="double" w:sz="6" w:space="0" w:color="000000"/>
              <w:left w:val="double" w:sz="6" w:space="0" w:color="000000"/>
              <w:bottom w:val="double" w:sz="6" w:space="0" w:color="000000"/>
              <w:right w:val="double" w:sz="6" w:space="0" w:color="000000"/>
            </w:tcBorders>
            <w:vAlign w:val="center"/>
          </w:tcPr>
          <w:p w14:paraId="0DE9D7C7"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891" w:type="dxa"/>
            <w:tcBorders>
              <w:top w:val="double" w:sz="6" w:space="0" w:color="000000"/>
              <w:left w:val="double" w:sz="6" w:space="0" w:color="000000"/>
              <w:bottom w:val="double" w:sz="6" w:space="0" w:color="000000"/>
              <w:right w:val="double" w:sz="6" w:space="0" w:color="000000"/>
            </w:tcBorders>
            <w:vAlign w:val="center"/>
          </w:tcPr>
          <w:p w14:paraId="5F079AEC"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CI </w:t>
            </w:r>
          </w:p>
        </w:tc>
        <w:tc>
          <w:tcPr>
            <w:tcW w:w="989" w:type="dxa"/>
            <w:tcBorders>
              <w:top w:val="double" w:sz="6" w:space="0" w:color="000000"/>
              <w:left w:val="double" w:sz="6" w:space="0" w:color="000000"/>
              <w:bottom w:val="double" w:sz="6" w:space="0" w:color="000000"/>
              <w:right w:val="double" w:sz="6" w:space="0" w:color="000000"/>
            </w:tcBorders>
          </w:tcPr>
          <w:p w14:paraId="41CF4153"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169" w:type="dxa"/>
            <w:tcBorders>
              <w:top w:val="double" w:sz="6" w:space="0" w:color="000000"/>
              <w:left w:val="double" w:sz="6" w:space="0" w:color="000000"/>
              <w:bottom w:val="double" w:sz="6" w:space="0" w:color="000000"/>
              <w:right w:val="double" w:sz="6" w:space="0" w:color="000000"/>
            </w:tcBorders>
            <w:vAlign w:val="center"/>
          </w:tcPr>
          <w:p w14:paraId="4709F514"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CI </w:t>
            </w:r>
          </w:p>
        </w:tc>
        <w:tc>
          <w:tcPr>
            <w:tcW w:w="1140" w:type="dxa"/>
            <w:tcBorders>
              <w:top w:val="double" w:sz="6" w:space="0" w:color="000000"/>
              <w:left w:val="double" w:sz="6" w:space="0" w:color="000000"/>
              <w:bottom w:val="double" w:sz="6" w:space="0" w:color="000000"/>
              <w:right w:val="double" w:sz="6" w:space="0" w:color="000000"/>
            </w:tcBorders>
          </w:tcPr>
          <w:p w14:paraId="640BD7A1"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044" w:type="dxa"/>
            <w:tcBorders>
              <w:top w:val="double" w:sz="6" w:space="0" w:color="000000"/>
              <w:left w:val="double" w:sz="6" w:space="0" w:color="000000"/>
              <w:bottom w:val="double" w:sz="6" w:space="0" w:color="000000"/>
              <w:right w:val="single" w:sz="4" w:space="0" w:color="000000"/>
            </w:tcBorders>
          </w:tcPr>
          <w:p w14:paraId="355C33C0"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r>
      <w:tr w:rsidR="00C23767" w:rsidRPr="00E66AB8" w14:paraId="0379815A" w14:textId="77777777" w:rsidTr="00113465">
        <w:trPr>
          <w:trHeight w:val="589"/>
        </w:trPr>
        <w:tc>
          <w:tcPr>
            <w:tcW w:w="718" w:type="dxa"/>
            <w:tcBorders>
              <w:top w:val="double" w:sz="6" w:space="0" w:color="000000"/>
              <w:left w:val="single" w:sz="4" w:space="0" w:color="000000"/>
              <w:bottom w:val="double" w:sz="6" w:space="0" w:color="000000"/>
              <w:right w:val="double" w:sz="6" w:space="0" w:color="000000"/>
            </w:tcBorders>
            <w:vAlign w:val="center"/>
          </w:tcPr>
          <w:p w14:paraId="28383F70"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2.2 </w:t>
            </w:r>
          </w:p>
        </w:tc>
        <w:tc>
          <w:tcPr>
            <w:tcW w:w="1678" w:type="dxa"/>
            <w:tcBorders>
              <w:top w:val="double" w:sz="6" w:space="0" w:color="000000"/>
              <w:left w:val="double" w:sz="6" w:space="0" w:color="000000"/>
              <w:bottom w:val="double" w:sz="6" w:space="0" w:color="000000"/>
              <w:right w:val="double" w:sz="6" w:space="0" w:color="000000"/>
            </w:tcBorders>
          </w:tcPr>
          <w:p w14:paraId="10E67891" w14:textId="77777777" w:rsidR="00C23767" w:rsidRPr="00E66AB8" w:rsidRDefault="005A7438" w:rsidP="00113465">
            <w:pPr>
              <w:spacing w:after="50" w:line="259" w:lineRule="auto"/>
              <w:ind w:left="90" w:firstLine="0"/>
              <w:rPr>
                <w:rFonts w:asciiTheme="minorHAnsi" w:hAnsiTheme="minorHAnsi"/>
              </w:rPr>
            </w:pPr>
            <w:r w:rsidRPr="00E66AB8">
              <w:rPr>
                <w:rFonts w:asciiTheme="minorHAnsi" w:hAnsiTheme="minorHAnsi"/>
                <w:sz w:val="16"/>
              </w:rPr>
              <w:t xml:space="preserve">Policy Configuration / </w:t>
            </w:r>
          </w:p>
          <w:p w14:paraId="74AC1416"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Settings / Rules </w:t>
            </w:r>
          </w:p>
        </w:tc>
        <w:tc>
          <w:tcPr>
            <w:tcW w:w="796" w:type="dxa"/>
            <w:tcBorders>
              <w:top w:val="double" w:sz="6" w:space="0" w:color="000000"/>
              <w:left w:val="double" w:sz="6" w:space="0" w:color="000000"/>
              <w:bottom w:val="double" w:sz="6" w:space="0" w:color="000000"/>
              <w:right w:val="double" w:sz="6" w:space="0" w:color="000000"/>
            </w:tcBorders>
          </w:tcPr>
          <w:p w14:paraId="088B7FCA"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974" w:type="dxa"/>
            <w:tcBorders>
              <w:top w:val="double" w:sz="6" w:space="0" w:color="000000"/>
              <w:left w:val="double" w:sz="6" w:space="0" w:color="000000"/>
              <w:bottom w:val="double" w:sz="6" w:space="0" w:color="000000"/>
              <w:right w:val="double" w:sz="6" w:space="0" w:color="000000"/>
            </w:tcBorders>
            <w:vAlign w:val="center"/>
          </w:tcPr>
          <w:p w14:paraId="6AB21C28"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I </w:t>
            </w:r>
          </w:p>
        </w:tc>
        <w:tc>
          <w:tcPr>
            <w:tcW w:w="891" w:type="dxa"/>
            <w:tcBorders>
              <w:top w:val="double" w:sz="6" w:space="0" w:color="000000"/>
              <w:left w:val="double" w:sz="6" w:space="0" w:color="000000"/>
              <w:bottom w:val="double" w:sz="6" w:space="0" w:color="000000"/>
              <w:right w:val="double" w:sz="6" w:space="0" w:color="000000"/>
            </w:tcBorders>
            <w:vAlign w:val="center"/>
          </w:tcPr>
          <w:p w14:paraId="4DEF1813"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 </w:t>
            </w:r>
          </w:p>
        </w:tc>
        <w:tc>
          <w:tcPr>
            <w:tcW w:w="989" w:type="dxa"/>
            <w:tcBorders>
              <w:top w:val="double" w:sz="6" w:space="0" w:color="000000"/>
              <w:left w:val="double" w:sz="6" w:space="0" w:color="000000"/>
              <w:bottom w:val="double" w:sz="6" w:space="0" w:color="000000"/>
              <w:right w:val="double" w:sz="6" w:space="0" w:color="000000"/>
            </w:tcBorders>
          </w:tcPr>
          <w:p w14:paraId="687B802B"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169" w:type="dxa"/>
            <w:tcBorders>
              <w:top w:val="double" w:sz="6" w:space="0" w:color="000000"/>
              <w:left w:val="double" w:sz="6" w:space="0" w:color="000000"/>
              <w:bottom w:val="double" w:sz="6" w:space="0" w:color="000000"/>
              <w:right w:val="double" w:sz="6" w:space="0" w:color="000000"/>
            </w:tcBorders>
            <w:vAlign w:val="center"/>
          </w:tcPr>
          <w:p w14:paraId="64F0E7B5"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1140" w:type="dxa"/>
            <w:tcBorders>
              <w:top w:val="double" w:sz="6" w:space="0" w:color="000000"/>
              <w:left w:val="double" w:sz="6" w:space="0" w:color="000000"/>
              <w:bottom w:val="double" w:sz="6" w:space="0" w:color="000000"/>
              <w:right w:val="double" w:sz="6" w:space="0" w:color="000000"/>
            </w:tcBorders>
          </w:tcPr>
          <w:p w14:paraId="08F5EEC9"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044" w:type="dxa"/>
            <w:tcBorders>
              <w:top w:val="double" w:sz="6" w:space="0" w:color="000000"/>
              <w:left w:val="double" w:sz="6" w:space="0" w:color="000000"/>
              <w:bottom w:val="single" w:sz="2" w:space="0" w:color="D9D9D9"/>
              <w:right w:val="single" w:sz="4" w:space="0" w:color="000000"/>
            </w:tcBorders>
          </w:tcPr>
          <w:p w14:paraId="5DD65B4D"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r>
      <w:tr w:rsidR="00C23767" w:rsidRPr="00E66AB8" w14:paraId="0789D256" w14:textId="77777777" w:rsidTr="00113465">
        <w:trPr>
          <w:trHeight w:val="583"/>
        </w:trPr>
        <w:tc>
          <w:tcPr>
            <w:tcW w:w="718" w:type="dxa"/>
            <w:tcBorders>
              <w:top w:val="double" w:sz="6" w:space="0" w:color="000000"/>
              <w:left w:val="single" w:sz="4" w:space="0" w:color="000000"/>
              <w:bottom w:val="double" w:sz="6" w:space="0" w:color="000000"/>
              <w:right w:val="double" w:sz="6" w:space="0" w:color="000000"/>
            </w:tcBorders>
            <w:vAlign w:val="center"/>
          </w:tcPr>
          <w:p w14:paraId="67640E25"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2.3 </w:t>
            </w:r>
          </w:p>
        </w:tc>
        <w:tc>
          <w:tcPr>
            <w:tcW w:w="1678" w:type="dxa"/>
            <w:tcBorders>
              <w:top w:val="double" w:sz="6" w:space="0" w:color="000000"/>
              <w:left w:val="double" w:sz="6" w:space="0" w:color="000000"/>
              <w:bottom w:val="double" w:sz="6" w:space="0" w:color="000000"/>
              <w:right w:val="double" w:sz="6" w:space="0" w:color="000000"/>
            </w:tcBorders>
          </w:tcPr>
          <w:p w14:paraId="7ED62B4C" w14:textId="77777777" w:rsidR="00383A19" w:rsidRPr="00E66AB8" w:rsidRDefault="00383A19" w:rsidP="00113465">
            <w:pPr>
              <w:spacing w:after="50" w:line="256" w:lineRule="auto"/>
              <w:ind w:left="90" w:firstLine="0"/>
              <w:jc w:val="left"/>
              <w:rPr>
                <w:rFonts w:asciiTheme="minorHAnsi" w:hAnsiTheme="minorHAnsi"/>
              </w:rPr>
            </w:pPr>
            <w:r>
              <w:rPr>
                <w:rFonts w:ascii="Aptos" w:hAnsi="Aptos"/>
                <w:sz w:val="16"/>
                <w:szCs w:val="16"/>
              </w:rPr>
              <w:t>Signals / EDR Detections / Investigation</w:t>
            </w:r>
          </w:p>
          <w:p w14:paraId="2A83C100"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Investigation </w:t>
            </w:r>
          </w:p>
        </w:tc>
        <w:tc>
          <w:tcPr>
            <w:tcW w:w="796" w:type="dxa"/>
            <w:tcBorders>
              <w:top w:val="double" w:sz="6" w:space="0" w:color="000000"/>
              <w:left w:val="double" w:sz="6" w:space="0" w:color="000000"/>
              <w:bottom w:val="double" w:sz="6" w:space="0" w:color="000000"/>
              <w:right w:val="double" w:sz="6" w:space="0" w:color="000000"/>
            </w:tcBorders>
            <w:shd w:val="clear" w:color="auto" w:fill="D9D9D9"/>
          </w:tcPr>
          <w:p w14:paraId="1B8FF019"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974" w:type="dxa"/>
            <w:tcBorders>
              <w:top w:val="double" w:sz="6" w:space="0" w:color="000000"/>
              <w:left w:val="double" w:sz="6" w:space="0" w:color="000000"/>
              <w:bottom w:val="double" w:sz="6" w:space="0" w:color="000000"/>
              <w:right w:val="double" w:sz="6" w:space="0" w:color="000000"/>
            </w:tcBorders>
            <w:shd w:val="clear" w:color="auto" w:fill="D9D9D9"/>
          </w:tcPr>
          <w:p w14:paraId="7BFAB36A"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891" w:type="dxa"/>
            <w:tcBorders>
              <w:top w:val="double" w:sz="6" w:space="0" w:color="000000"/>
              <w:left w:val="double" w:sz="6" w:space="0" w:color="000000"/>
              <w:bottom w:val="double" w:sz="6" w:space="0" w:color="000000"/>
              <w:right w:val="double" w:sz="6" w:space="0" w:color="000000"/>
            </w:tcBorders>
            <w:shd w:val="clear" w:color="auto" w:fill="D9D9D9"/>
          </w:tcPr>
          <w:p w14:paraId="5BC1DC85"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989" w:type="dxa"/>
            <w:tcBorders>
              <w:top w:val="double" w:sz="6" w:space="0" w:color="000000"/>
              <w:left w:val="double" w:sz="6" w:space="0" w:color="000000"/>
              <w:bottom w:val="double" w:sz="6" w:space="0" w:color="000000"/>
              <w:right w:val="double" w:sz="6" w:space="0" w:color="000000"/>
            </w:tcBorders>
            <w:shd w:val="clear" w:color="auto" w:fill="D9D9D9"/>
          </w:tcPr>
          <w:p w14:paraId="3735D3A0"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169" w:type="dxa"/>
            <w:tcBorders>
              <w:top w:val="double" w:sz="6" w:space="0" w:color="000000"/>
              <w:left w:val="double" w:sz="6" w:space="0" w:color="000000"/>
              <w:bottom w:val="double" w:sz="6" w:space="0" w:color="000000"/>
              <w:right w:val="double" w:sz="6" w:space="0" w:color="000000"/>
            </w:tcBorders>
            <w:shd w:val="clear" w:color="auto" w:fill="D9D9D9"/>
          </w:tcPr>
          <w:p w14:paraId="27047DE3"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140" w:type="dxa"/>
            <w:tcBorders>
              <w:top w:val="double" w:sz="6" w:space="0" w:color="000000"/>
              <w:left w:val="double" w:sz="6" w:space="0" w:color="000000"/>
              <w:bottom w:val="double" w:sz="6" w:space="0" w:color="000000"/>
              <w:right w:val="double" w:sz="6" w:space="0" w:color="000000"/>
            </w:tcBorders>
            <w:shd w:val="clear" w:color="auto" w:fill="D9D9D9"/>
          </w:tcPr>
          <w:p w14:paraId="725E425B"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044" w:type="dxa"/>
            <w:tcBorders>
              <w:top w:val="single" w:sz="2" w:space="0" w:color="D9D9D9"/>
              <w:left w:val="double" w:sz="6" w:space="0" w:color="000000"/>
              <w:bottom w:val="double" w:sz="6" w:space="0" w:color="000000"/>
              <w:right w:val="single" w:sz="4" w:space="0" w:color="000000"/>
            </w:tcBorders>
            <w:shd w:val="clear" w:color="auto" w:fill="D9D9D9"/>
          </w:tcPr>
          <w:p w14:paraId="2524958C"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r>
      <w:tr w:rsidR="00C23767" w:rsidRPr="00E66AB8" w14:paraId="243E8179" w14:textId="77777777" w:rsidTr="00113465">
        <w:trPr>
          <w:trHeight w:val="590"/>
        </w:trPr>
        <w:tc>
          <w:tcPr>
            <w:tcW w:w="718" w:type="dxa"/>
            <w:tcBorders>
              <w:top w:val="double" w:sz="6" w:space="0" w:color="000000"/>
              <w:left w:val="single" w:sz="4" w:space="0" w:color="000000"/>
              <w:bottom w:val="double" w:sz="6" w:space="0" w:color="000000"/>
              <w:right w:val="double" w:sz="6" w:space="0" w:color="000000"/>
            </w:tcBorders>
            <w:vAlign w:val="center"/>
          </w:tcPr>
          <w:p w14:paraId="4D56E2BE"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2.3.1 </w:t>
            </w:r>
          </w:p>
        </w:tc>
        <w:tc>
          <w:tcPr>
            <w:tcW w:w="1678" w:type="dxa"/>
            <w:tcBorders>
              <w:top w:val="double" w:sz="6" w:space="0" w:color="000000"/>
              <w:left w:val="double" w:sz="6" w:space="0" w:color="000000"/>
              <w:bottom w:val="double" w:sz="6" w:space="0" w:color="000000"/>
              <w:right w:val="double" w:sz="6" w:space="0" w:color="000000"/>
            </w:tcBorders>
          </w:tcPr>
          <w:p w14:paraId="19456107" w14:textId="77777777" w:rsidR="00C23767" w:rsidRPr="00E66AB8" w:rsidRDefault="005A7438" w:rsidP="00113465">
            <w:pPr>
              <w:spacing w:after="50" w:line="259" w:lineRule="auto"/>
              <w:ind w:left="90" w:firstLine="0"/>
              <w:jc w:val="left"/>
              <w:rPr>
                <w:rFonts w:asciiTheme="minorHAnsi" w:hAnsiTheme="minorHAnsi"/>
              </w:rPr>
            </w:pPr>
            <w:r w:rsidRPr="00E66AB8">
              <w:rPr>
                <w:rFonts w:asciiTheme="minorHAnsi" w:hAnsiTheme="minorHAnsi"/>
                <w:sz w:val="16"/>
              </w:rPr>
              <w:t xml:space="preserve">Critical / High / </w:t>
            </w:r>
          </w:p>
          <w:p w14:paraId="15A80065"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Medium </w:t>
            </w:r>
          </w:p>
        </w:tc>
        <w:tc>
          <w:tcPr>
            <w:tcW w:w="796" w:type="dxa"/>
            <w:tcBorders>
              <w:top w:val="double" w:sz="6" w:space="0" w:color="000000"/>
              <w:left w:val="double" w:sz="6" w:space="0" w:color="000000"/>
              <w:bottom w:val="double" w:sz="6" w:space="0" w:color="000000"/>
              <w:right w:val="double" w:sz="6" w:space="0" w:color="000000"/>
            </w:tcBorders>
          </w:tcPr>
          <w:p w14:paraId="6923D4AB"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974" w:type="dxa"/>
            <w:tcBorders>
              <w:top w:val="double" w:sz="6" w:space="0" w:color="000000"/>
              <w:left w:val="double" w:sz="6" w:space="0" w:color="000000"/>
              <w:bottom w:val="double" w:sz="6" w:space="0" w:color="000000"/>
              <w:right w:val="double" w:sz="6" w:space="0" w:color="000000"/>
            </w:tcBorders>
          </w:tcPr>
          <w:p w14:paraId="1EA283E2"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891" w:type="dxa"/>
            <w:tcBorders>
              <w:top w:val="double" w:sz="6" w:space="0" w:color="000000"/>
              <w:left w:val="double" w:sz="6" w:space="0" w:color="000000"/>
              <w:bottom w:val="double" w:sz="6" w:space="0" w:color="000000"/>
              <w:right w:val="double" w:sz="6" w:space="0" w:color="000000"/>
            </w:tcBorders>
            <w:vAlign w:val="center"/>
          </w:tcPr>
          <w:p w14:paraId="5BAA2DD2"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CI </w:t>
            </w:r>
          </w:p>
        </w:tc>
        <w:tc>
          <w:tcPr>
            <w:tcW w:w="989" w:type="dxa"/>
            <w:tcBorders>
              <w:top w:val="double" w:sz="6" w:space="0" w:color="000000"/>
              <w:left w:val="double" w:sz="6" w:space="0" w:color="000000"/>
              <w:bottom w:val="double" w:sz="6" w:space="0" w:color="000000"/>
              <w:right w:val="double" w:sz="6" w:space="0" w:color="000000"/>
            </w:tcBorders>
            <w:vAlign w:val="center"/>
          </w:tcPr>
          <w:p w14:paraId="2AACBE63"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I </w:t>
            </w:r>
          </w:p>
        </w:tc>
        <w:tc>
          <w:tcPr>
            <w:tcW w:w="1169" w:type="dxa"/>
            <w:tcBorders>
              <w:top w:val="double" w:sz="6" w:space="0" w:color="000000"/>
              <w:left w:val="double" w:sz="6" w:space="0" w:color="000000"/>
              <w:bottom w:val="double" w:sz="6" w:space="0" w:color="000000"/>
              <w:right w:val="double" w:sz="6" w:space="0" w:color="000000"/>
            </w:tcBorders>
            <w:vAlign w:val="center"/>
          </w:tcPr>
          <w:p w14:paraId="4010A16C"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1140" w:type="dxa"/>
            <w:tcBorders>
              <w:top w:val="double" w:sz="6" w:space="0" w:color="000000"/>
              <w:left w:val="double" w:sz="6" w:space="0" w:color="000000"/>
              <w:bottom w:val="double" w:sz="6" w:space="0" w:color="000000"/>
              <w:right w:val="double" w:sz="6" w:space="0" w:color="000000"/>
            </w:tcBorders>
          </w:tcPr>
          <w:p w14:paraId="590D94AF"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044" w:type="dxa"/>
            <w:tcBorders>
              <w:top w:val="double" w:sz="6" w:space="0" w:color="000000"/>
              <w:left w:val="double" w:sz="6" w:space="0" w:color="000000"/>
              <w:bottom w:val="double" w:sz="6" w:space="0" w:color="000000"/>
              <w:right w:val="single" w:sz="4" w:space="0" w:color="000000"/>
            </w:tcBorders>
          </w:tcPr>
          <w:p w14:paraId="790DDF5A"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r>
      <w:tr w:rsidR="00C23767" w:rsidRPr="00E66AB8" w14:paraId="1F735F4E" w14:textId="77777777" w:rsidTr="00113465">
        <w:trPr>
          <w:trHeight w:val="516"/>
        </w:trPr>
        <w:tc>
          <w:tcPr>
            <w:tcW w:w="718" w:type="dxa"/>
            <w:tcBorders>
              <w:top w:val="double" w:sz="6" w:space="0" w:color="000000"/>
              <w:left w:val="single" w:sz="4" w:space="0" w:color="000000"/>
              <w:bottom w:val="double" w:sz="6" w:space="0" w:color="000000"/>
              <w:right w:val="double" w:sz="6" w:space="0" w:color="000000"/>
            </w:tcBorders>
            <w:vAlign w:val="center"/>
          </w:tcPr>
          <w:p w14:paraId="0CF9C984"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2.3.2 </w:t>
            </w:r>
          </w:p>
        </w:tc>
        <w:tc>
          <w:tcPr>
            <w:tcW w:w="1678" w:type="dxa"/>
            <w:tcBorders>
              <w:top w:val="double" w:sz="6" w:space="0" w:color="000000"/>
              <w:left w:val="double" w:sz="6" w:space="0" w:color="000000"/>
              <w:bottom w:val="double" w:sz="6" w:space="0" w:color="000000"/>
              <w:right w:val="double" w:sz="6" w:space="0" w:color="000000"/>
            </w:tcBorders>
            <w:vAlign w:val="center"/>
          </w:tcPr>
          <w:p w14:paraId="65B47629"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Low / Info </w:t>
            </w:r>
          </w:p>
        </w:tc>
        <w:tc>
          <w:tcPr>
            <w:tcW w:w="796" w:type="dxa"/>
            <w:tcBorders>
              <w:top w:val="double" w:sz="6" w:space="0" w:color="000000"/>
              <w:left w:val="double" w:sz="6" w:space="0" w:color="000000"/>
              <w:bottom w:val="double" w:sz="6" w:space="0" w:color="000000"/>
              <w:right w:val="double" w:sz="6" w:space="0" w:color="000000"/>
            </w:tcBorders>
          </w:tcPr>
          <w:p w14:paraId="5725FF59"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974" w:type="dxa"/>
            <w:tcBorders>
              <w:top w:val="double" w:sz="6" w:space="0" w:color="000000"/>
              <w:left w:val="double" w:sz="6" w:space="0" w:color="000000"/>
              <w:bottom w:val="double" w:sz="6" w:space="0" w:color="000000"/>
              <w:right w:val="double" w:sz="6" w:space="0" w:color="000000"/>
            </w:tcBorders>
          </w:tcPr>
          <w:p w14:paraId="67C1EE38"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891" w:type="dxa"/>
            <w:tcBorders>
              <w:top w:val="double" w:sz="6" w:space="0" w:color="000000"/>
              <w:left w:val="double" w:sz="6" w:space="0" w:color="000000"/>
              <w:bottom w:val="double" w:sz="6" w:space="0" w:color="000000"/>
              <w:right w:val="double" w:sz="6" w:space="0" w:color="000000"/>
            </w:tcBorders>
            <w:vAlign w:val="center"/>
          </w:tcPr>
          <w:p w14:paraId="15DCC1F9"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CI </w:t>
            </w:r>
          </w:p>
        </w:tc>
        <w:tc>
          <w:tcPr>
            <w:tcW w:w="989" w:type="dxa"/>
            <w:tcBorders>
              <w:top w:val="double" w:sz="6" w:space="0" w:color="000000"/>
              <w:left w:val="double" w:sz="6" w:space="0" w:color="000000"/>
              <w:bottom w:val="double" w:sz="6" w:space="0" w:color="000000"/>
              <w:right w:val="double" w:sz="6" w:space="0" w:color="000000"/>
            </w:tcBorders>
          </w:tcPr>
          <w:p w14:paraId="510A28F3"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169" w:type="dxa"/>
            <w:tcBorders>
              <w:top w:val="double" w:sz="6" w:space="0" w:color="000000"/>
              <w:left w:val="double" w:sz="6" w:space="0" w:color="000000"/>
              <w:bottom w:val="double" w:sz="6" w:space="0" w:color="000000"/>
              <w:right w:val="double" w:sz="6" w:space="0" w:color="000000"/>
            </w:tcBorders>
            <w:vAlign w:val="center"/>
          </w:tcPr>
          <w:p w14:paraId="0DD1D4A9"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1140" w:type="dxa"/>
            <w:tcBorders>
              <w:top w:val="double" w:sz="6" w:space="0" w:color="000000"/>
              <w:left w:val="double" w:sz="6" w:space="0" w:color="000000"/>
              <w:bottom w:val="double" w:sz="6" w:space="0" w:color="000000"/>
              <w:right w:val="double" w:sz="6" w:space="0" w:color="000000"/>
            </w:tcBorders>
          </w:tcPr>
          <w:p w14:paraId="45D81DD4"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044" w:type="dxa"/>
            <w:tcBorders>
              <w:top w:val="double" w:sz="6" w:space="0" w:color="000000"/>
              <w:left w:val="double" w:sz="6" w:space="0" w:color="000000"/>
              <w:bottom w:val="double" w:sz="6" w:space="0" w:color="000000"/>
              <w:right w:val="single" w:sz="4" w:space="0" w:color="000000"/>
            </w:tcBorders>
          </w:tcPr>
          <w:p w14:paraId="0EFD1DF8"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r>
      <w:tr w:rsidR="00C23767" w:rsidRPr="00E66AB8" w14:paraId="39480556" w14:textId="77777777" w:rsidTr="00113465">
        <w:trPr>
          <w:trHeight w:val="588"/>
        </w:trPr>
        <w:tc>
          <w:tcPr>
            <w:tcW w:w="718" w:type="dxa"/>
            <w:tcBorders>
              <w:top w:val="double" w:sz="6" w:space="0" w:color="000000"/>
              <w:left w:val="single" w:sz="4" w:space="0" w:color="000000"/>
              <w:bottom w:val="double" w:sz="6" w:space="0" w:color="000000"/>
              <w:right w:val="double" w:sz="6" w:space="0" w:color="000000"/>
            </w:tcBorders>
            <w:vAlign w:val="center"/>
          </w:tcPr>
          <w:p w14:paraId="281BED42"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3.0 </w:t>
            </w:r>
          </w:p>
        </w:tc>
        <w:tc>
          <w:tcPr>
            <w:tcW w:w="1678" w:type="dxa"/>
            <w:tcBorders>
              <w:top w:val="double" w:sz="6" w:space="0" w:color="000000"/>
              <w:left w:val="double" w:sz="6" w:space="0" w:color="000000"/>
              <w:bottom w:val="double" w:sz="6" w:space="0" w:color="000000"/>
              <w:right w:val="double" w:sz="6" w:space="0" w:color="000000"/>
            </w:tcBorders>
          </w:tcPr>
          <w:p w14:paraId="5269C01D" w14:textId="77777777" w:rsidR="00C23767" w:rsidRPr="00E66AB8" w:rsidRDefault="005A7438" w:rsidP="00113465">
            <w:pPr>
              <w:spacing w:after="0" w:line="259" w:lineRule="auto"/>
              <w:ind w:left="90" w:firstLine="0"/>
              <w:rPr>
                <w:rFonts w:asciiTheme="minorHAnsi" w:hAnsiTheme="minorHAnsi"/>
              </w:rPr>
            </w:pPr>
            <w:r w:rsidRPr="00E66AB8">
              <w:rPr>
                <w:rFonts w:asciiTheme="minorHAnsi" w:hAnsiTheme="minorHAnsi"/>
                <w:sz w:val="16"/>
              </w:rPr>
              <w:t xml:space="preserve">Incident Investigation and Closure </w:t>
            </w:r>
          </w:p>
        </w:tc>
        <w:tc>
          <w:tcPr>
            <w:tcW w:w="796" w:type="dxa"/>
            <w:tcBorders>
              <w:top w:val="double" w:sz="6" w:space="0" w:color="000000"/>
              <w:left w:val="double" w:sz="6" w:space="0" w:color="000000"/>
              <w:bottom w:val="double" w:sz="6" w:space="0" w:color="000000"/>
              <w:right w:val="double" w:sz="6" w:space="0" w:color="000000"/>
            </w:tcBorders>
          </w:tcPr>
          <w:p w14:paraId="3DFBE8C9"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974" w:type="dxa"/>
            <w:tcBorders>
              <w:top w:val="double" w:sz="6" w:space="0" w:color="000000"/>
              <w:left w:val="double" w:sz="6" w:space="0" w:color="000000"/>
              <w:bottom w:val="double" w:sz="6" w:space="0" w:color="000000"/>
              <w:right w:val="double" w:sz="6" w:space="0" w:color="000000"/>
            </w:tcBorders>
            <w:vAlign w:val="center"/>
          </w:tcPr>
          <w:p w14:paraId="041E2F1B"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I </w:t>
            </w:r>
          </w:p>
        </w:tc>
        <w:tc>
          <w:tcPr>
            <w:tcW w:w="891" w:type="dxa"/>
            <w:tcBorders>
              <w:top w:val="double" w:sz="6" w:space="0" w:color="000000"/>
              <w:left w:val="double" w:sz="6" w:space="0" w:color="000000"/>
              <w:bottom w:val="double" w:sz="6" w:space="0" w:color="000000"/>
              <w:right w:val="double" w:sz="6" w:space="0" w:color="000000"/>
            </w:tcBorders>
            <w:vAlign w:val="center"/>
          </w:tcPr>
          <w:p w14:paraId="1501C83F"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CI </w:t>
            </w:r>
          </w:p>
        </w:tc>
        <w:tc>
          <w:tcPr>
            <w:tcW w:w="989" w:type="dxa"/>
            <w:tcBorders>
              <w:top w:val="double" w:sz="6" w:space="0" w:color="000000"/>
              <w:left w:val="double" w:sz="6" w:space="0" w:color="000000"/>
              <w:bottom w:val="double" w:sz="6" w:space="0" w:color="000000"/>
              <w:right w:val="double" w:sz="6" w:space="0" w:color="000000"/>
            </w:tcBorders>
            <w:vAlign w:val="center"/>
          </w:tcPr>
          <w:p w14:paraId="006BDD86"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I </w:t>
            </w:r>
          </w:p>
        </w:tc>
        <w:tc>
          <w:tcPr>
            <w:tcW w:w="1169" w:type="dxa"/>
            <w:tcBorders>
              <w:top w:val="double" w:sz="6" w:space="0" w:color="000000"/>
              <w:left w:val="double" w:sz="6" w:space="0" w:color="000000"/>
              <w:bottom w:val="double" w:sz="6" w:space="0" w:color="000000"/>
              <w:right w:val="double" w:sz="6" w:space="0" w:color="000000"/>
            </w:tcBorders>
            <w:vAlign w:val="center"/>
          </w:tcPr>
          <w:p w14:paraId="451E1FD7"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1140" w:type="dxa"/>
            <w:tcBorders>
              <w:top w:val="double" w:sz="6" w:space="0" w:color="000000"/>
              <w:left w:val="double" w:sz="6" w:space="0" w:color="000000"/>
              <w:bottom w:val="double" w:sz="6" w:space="0" w:color="000000"/>
              <w:right w:val="double" w:sz="6" w:space="0" w:color="000000"/>
            </w:tcBorders>
            <w:vAlign w:val="center"/>
          </w:tcPr>
          <w:p w14:paraId="2FB863DC"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I </w:t>
            </w:r>
          </w:p>
        </w:tc>
        <w:tc>
          <w:tcPr>
            <w:tcW w:w="1044" w:type="dxa"/>
            <w:tcBorders>
              <w:top w:val="double" w:sz="6" w:space="0" w:color="000000"/>
              <w:left w:val="double" w:sz="6" w:space="0" w:color="000000"/>
              <w:bottom w:val="double" w:sz="6" w:space="0" w:color="000000"/>
              <w:right w:val="single" w:sz="4" w:space="0" w:color="000000"/>
            </w:tcBorders>
          </w:tcPr>
          <w:p w14:paraId="4FDBAB50"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r>
      <w:tr w:rsidR="00C23767" w:rsidRPr="00E66AB8" w14:paraId="570B0AD9" w14:textId="77777777" w:rsidTr="00113465">
        <w:trPr>
          <w:trHeight w:val="518"/>
        </w:trPr>
        <w:tc>
          <w:tcPr>
            <w:tcW w:w="718" w:type="dxa"/>
            <w:tcBorders>
              <w:top w:val="double" w:sz="6" w:space="0" w:color="000000"/>
              <w:left w:val="single" w:sz="4" w:space="0" w:color="000000"/>
              <w:bottom w:val="double" w:sz="6" w:space="0" w:color="000000"/>
              <w:right w:val="double" w:sz="6" w:space="0" w:color="000000"/>
            </w:tcBorders>
            <w:vAlign w:val="center"/>
          </w:tcPr>
          <w:p w14:paraId="1B0195F4"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3.2 </w:t>
            </w:r>
          </w:p>
        </w:tc>
        <w:tc>
          <w:tcPr>
            <w:tcW w:w="1678" w:type="dxa"/>
            <w:tcBorders>
              <w:top w:val="double" w:sz="6" w:space="0" w:color="000000"/>
              <w:left w:val="double" w:sz="6" w:space="0" w:color="000000"/>
              <w:bottom w:val="double" w:sz="6" w:space="0" w:color="000000"/>
              <w:right w:val="double" w:sz="6" w:space="0" w:color="000000"/>
            </w:tcBorders>
            <w:vAlign w:val="center"/>
          </w:tcPr>
          <w:p w14:paraId="26E25FB9"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Incident Escalation </w:t>
            </w:r>
          </w:p>
        </w:tc>
        <w:tc>
          <w:tcPr>
            <w:tcW w:w="796" w:type="dxa"/>
            <w:tcBorders>
              <w:top w:val="double" w:sz="6" w:space="0" w:color="000000"/>
              <w:left w:val="double" w:sz="6" w:space="0" w:color="000000"/>
              <w:bottom w:val="double" w:sz="6" w:space="0" w:color="000000"/>
              <w:right w:val="double" w:sz="6" w:space="0" w:color="000000"/>
            </w:tcBorders>
            <w:vAlign w:val="center"/>
          </w:tcPr>
          <w:p w14:paraId="557F0AE1"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I </w:t>
            </w:r>
          </w:p>
        </w:tc>
        <w:tc>
          <w:tcPr>
            <w:tcW w:w="974" w:type="dxa"/>
            <w:tcBorders>
              <w:top w:val="double" w:sz="6" w:space="0" w:color="000000"/>
              <w:left w:val="double" w:sz="6" w:space="0" w:color="000000"/>
              <w:bottom w:val="double" w:sz="6" w:space="0" w:color="000000"/>
              <w:right w:val="double" w:sz="6" w:space="0" w:color="000000"/>
            </w:tcBorders>
            <w:vAlign w:val="center"/>
          </w:tcPr>
          <w:p w14:paraId="05D14F4E"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CA </w:t>
            </w:r>
          </w:p>
        </w:tc>
        <w:tc>
          <w:tcPr>
            <w:tcW w:w="891" w:type="dxa"/>
            <w:tcBorders>
              <w:top w:val="double" w:sz="6" w:space="0" w:color="000000"/>
              <w:left w:val="double" w:sz="6" w:space="0" w:color="000000"/>
              <w:bottom w:val="double" w:sz="6" w:space="0" w:color="000000"/>
              <w:right w:val="double" w:sz="6" w:space="0" w:color="000000"/>
            </w:tcBorders>
            <w:vAlign w:val="center"/>
          </w:tcPr>
          <w:p w14:paraId="49DC1696"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CA </w:t>
            </w:r>
          </w:p>
        </w:tc>
        <w:tc>
          <w:tcPr>
            <w:tcW w:w="989" w:type="dxa"/>
            <w:tcBorders>
              <w:top w:val="double" w:sz="6" w:space="0" w:color="000000"/>
              <w:left w:val="double" w:sz="6" w:space="0" w:color="000000"/>
              <w:bottom w:val="double" w:sz="6" w:space="0" w:color="000000"/>
              <w:right w:val="double" w:sz="6" w:space="0" w:color="000000"/>
            </w:tcBorders>
            <w:vAlign w:val="center"/>
          </w:tcPr>
          <w:p w14:paraId="1B5B5BA0"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I </w:t>
            </w:r>
          </w:p>
        </w:tc>
        <w:tc>
          <w:tcPr>
            <w:tcW w:w="1169" w:type="dxa"/>
            <w:tcBorders>
              <w:top w:val="double" w:sz="6" w:space="0" w:color="000000"/>
              <w:left w:val="double" w:sz="6" w:space="0" w:color="000000"/>
              <w:bottom w:val="double" w:sz="6" w:space="0" w:color="000000"/>
              <w:right w:val="double" w:sz="6" w:space="0" w:color="000000"/>
            </w:tcBorders>
            <w:vAlign w:val="center"/>
          </w:tcPr>
          <w:p w14:paraId="1AD6C884"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1140" w:type="dxa"/>
            <w:tcBorders>
              <w:top w:val="double" w:sz="6" w:space="0" w:color="000000"/>
              <w:left w:val="double" w:sz="6" w:space="0" w:color="000000"/>
              <w:bottom w:val="double" w:sz="6" w:space="0" w:color="000000"/>
              <w:right w:val="double" w:sz="6" w:space="0" w:color="000000"/>
            </w:tcBorders>
            <w:vAlign w:val="center"/>
          </w:tcPr>
          <w:p w14:paraId="3CD73D0E"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 </w:t>
            </w:r>
          </w:p>
        </w:tc>
        <w:tc>
          <w:tcPr>
            <w:tcW w:w="1044" w:type="dxa"/>
            <w:tcBorders>
              <w:top w:val="double" w:sz="6" w:space="0" w:color="000000"/>
              <w:left w:val="double" w:sz="6" w:space="0" w:color="000000"/>
              <w:bottom w:val="double" w:sz="6" w:space="0" w:color="000000"/>
              <w:right w:val="single" w:sz="4" w:space="0" w:color="000000"/>
            </w:tcBorders>
          </w:tcPr>
          <w:p w14:paraId="284E1868"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r>
      <w:tr w:rsidR="00C23767" w:rsidRPr="00E66AB8" w14:paraId="0934F5B2" w14:textId="77777777" w:rsidTr="00113465">
        <w:trPr>
          <w:trHeight w:val="338"/>
        </w:trPr>
        <w:tc>
          <w:tcPr>
            <w:tcW w:w="718" w:type="dxa"/>
            <w:tcBorders>
              <w:top w:val="double" w:sz="6" w:space="0" w:color="000000"/>
              <w:left w:val="single" w:sz="4" w:space="0" w:color="000000"/>
              <w:bottom w:val="double" w:sz="6" w:space="0" w:color="000000"/>
              <w:right w:val="double" w:sz="6" w:space="0" w:color="000000"/>
            </w:tcBorders>
          </w:tcPr>
          <w:p w14:paraId="5DAC0218"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4.0 </w:t>
            </w:r>
          </w:p>
        </w:tc>
        <w:tc>
          <w:tcPr>
            <w:tcW w:w="1678" w:type="dxa"/>
            <w:tcBorders>
              <w:top w:val="double" w:sz="6" w:space="0" w:color="000000"/>
              <w:left w:val="double" w:sz="6" w:space="0" w:color="000000"/>
              <w:bottom w:val="double" w:sz="6" w:space="0" w:color="000000"/>
              <w:right w:val="double" w:sz="6" w:space="0" w:color="000000"/>
            </w:tcBorders>
          </w:tcPr>
          <w:p w14:paraId="2AD935B3"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Incident Response </w:t>
            </w:r>
          </w:p>
        </w:tc>
        <w:tc>
          <w:tcPr>
            <w:tcW w:w="796" w:type="dxa"/>
            <w:tcBorders>
              <w:top w:val="double" w:sz="6" w:space="0" w:color="000000"/>
              <w:left w:val="double" w:sz="6" w:space="0" w:color="000000"/>
              <w:bottom w:val="double" w:sz="6" w:space="0" w:color="000000"/>
              <w:right w:val="double" w:sz="6" w:space="0" w:color="000000"/>
            </w:tcBorders>
          </w:tcPr>
          <w:p w14:paraId="69EDEBD7"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974" w:type="dxa"/>
            <w:tcBorders>
              <w:top w:val="double" w:sz="6" w:space="0" w:color="000000"/>
              <w:left w:val="double" w:sz="6" w:space="0" w:color="000000"/>
              <w:bottom w:val="double" w:sz="6" w:space="0" w:color="000000"/>
              <w:right w:val="double" w:sz="6" w:space="0" w:color="000000"/>
            </w:tcBorders>
          </w:tcPr>
          <w:p w14:paraId="677D92CF"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A </w:t>
            </w:r>
          </w:p>
        </w:tc>
        <w:tc>
          <w:tcPr>
            <w:tcW w:w="891" w:type="dxa"/>
            <w:tcBorders>
              <w:top w:val="double" w:sz="6" w:space="0" w:color="000000"/>
              <w:left w:val="double" w:sz="6" w:space="0" w:color="000000"/>
              <w:bottom w:val="double" w:sz="6" w:space="0" w:color="000000"/>
              <w:right w:val="double" w:sz="6" w:space="0" w:color="000000"/>
            </w:tcBorders>
          </w:tcPr>
          <w:p w14:paraId="57760B21"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A </w:t>
            </w:r>
          </w:p>
        </w:tc>
        <w:tc>
          <w:tcPr>
            <w:tcW w:w="989" w:type="dxa"/>
            <w:tcBorders>
              <w:top w:val="double" w:sz="6" w:space="0" w:color="000000"/>
              <w:left w:val="double" w:sz="6" w:space="0" w:color="000000"/>
              <w:bottom w:val="double" w:sz="6" w:space="0" w:color="000000"/>
              <w:right w:val="double" w:sz="6" w:space="0" w:color="000000"/>
            </w:tcBorders>
          </w:tcPr>
          <w:p w14:paraId="6695DB76"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A </w:t>
            </w:r>
          </w:p>
        </w:tc>
        <w:tc>
          <w:tcPr>
            <w:tcW w:w="1169" w:type="dxa"/>
            <w:tcBorders>
              <w:top w:val="double" w:sz="6" w:space="0" w:color="000000"/>
              <w:left w:val="double" w:sz="6" w:space="0" w:color="000000"/>
              <w:bottom w:val="double" w:sz="6" w:space="0" w:color="000000"/>
              <w:right w:val="double" w:sz="6" w:space="0" w:color="000000"/>
            </w:tcBorders>
          </w:tcPr>
          <w:p w14:paraId="1E111BFB"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A </w:t>
            </w:r>
          </w:p>
        </w:tc>
        <w:tc>
          <w:tcPr>
            <w:tcW w:w="1140" w:type="dxa"/>
            <w:tcBorders>
              <w:top w:val="double" w:sz="6" w:space="0" w:color="000000"/>
              <w:left w:val="double" w:sz="6" w:space="0" w:color="000000"/>
              <w:bottom w:val="double" w:sz="6" w:space="0" w:color="000000"/>
              <w:right w:val="double" w:sz="6" w:space="0" w:color="000000"/>
            </w:tcBorders>
          </w:tcPr>
          <w:p w14:paraId="116B250F"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1044" w:type="dxa"/>
            <w:tcBorders>
              <w:top w:val="double" w:sz="6" w:space="0" w:color="000000"/>
              <w:left w:val="double" w:sz="6" w:space="0" w:color="000000"/>
              <w:bottom w:val="double" w:sz="6" w:space="0" w:color="000000"/>
              <w:right w:val="single" w:sz="4" w:space="0" w:color="000000"/>
            </w:tcBorders>
          </w:tcPr>
          <w:p w14:paraId="56795EC1"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 </w:t>
            </w:r>
          </w:p>
        </w:tc>
      </w:tr>
      <w:tr w:rsidR="00C23767" w:rsidRPr="00E66AB8" w14:paraId="14AA239F" w14:textId="77777777" w:rsidTr="00113465">
        <w:trPr>
          <w:trHeight w:val="588"/>
        </w:trPr>
        <w:tc>
          <w:tcPr>
            <w:tcW w:w="718" w:type="dxa"/>
            <w:tcBorders>
              <w:top w:val="double" w:sz="6" w:space="0" w:color="000000"/>
              <w:left w:val="single" w:sz="4" w:space="0" w:color="000000"/>
              <w:bottom w:val="double" w:sz="6" w:space="0" w:color="000000"/>
              <w:right w:val="double" w:sz="6" w:space="0" w:color="000000"/>
            </w:tcBorders>
            <w:vAlign w:val="center"/>
          </w:tcPr>
          <w:p w14:paraId="4FC27080"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5.0 </w:t>
            </w:r>
          </w:p>
        </w:tc>
        <w:tc>
          <w:tcPr>
            <w:tcW w:w="1678" w:type="dxa"/>
            <w:tcBorders>
              <w:top w:val="double" w:sz="6" w:space="0" w:color="000000"/>
              <w:left w:val="double" w:sz="6" w:space="0" w:color="000000"/>
              <w:bottom w:val="double" w:sz="6" w:space="0" w:color="000000"/>
              <w:right w:val="double" w:sz="6" w:space="0" w:color="000000"/>
            </w:tcBorders>
          </w:tcPr>
          <w:p w14:paraId="7162B93C" w14:textId="77777777" w:rsidR="00C23767" w:rsidRPr="00E66AB8" w:rsidRDefault="005A7438" w:rsidP="00113465">
            <w:pPr>
              <w:spacing w:after="0" w:line="259" w:lineRule="auto"/>
              <w:ind w:left="90" w:firstLine="0"/>
              <w:rPr>
                <w:rFonts w:asciiTheme="minorHAnsi" w:hAnsiTheme="minorHAnsi"/>
              </w:rPr>
            </w:pPr>
            <w:r w:rsidRPr="00E66AB8">
              <w:rPr>
                <w:rFonts w:asciiTheme="minorHAnsi" w:hAnsiTheme="minorHAnsi"/>
                <w:sz w:val="16"/>
              </w:rPr>
              <w:t xml:space="preserve">Maintenance, Health, and Monitoring </w:t>
            </w:r>
          </w:p>
        </w:tc>
        <w:tc>
          <w:tcPr>
            <w:tcW w:w="796" w:type="dxa"/>
            <w:tcBorders>
              <w:top w:val="double" w:sz="6" w:space="0" w:color="000000"/>
              <w:left w:val="double" w:sz="6" w:space="0" w:color="000000"/>
              <w:bottom w:val="double" w:sz="6" w:space="0" w:color="000000"/>
              <w:right w:val="double" w:sz="6" w:space="0" w:color="000000"/>
            </w:tcBorders>
          </w:tcPr>
          <w:p w14:paraId="736931B9"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974" w:type="dxa"/>
            <w:tcBorders>
              <w:top w:val="double" w:sz="6" w:space="0" w:color="000000"/>
              <w:left w:val="double" w:sz="6" w:space="0" w:color="000000"/>
              <w:bottom w:val="double" w:sz="6" w:space="0" w:color="000000"/>
              <w:right w:val="double" w:sz="6" w:space="0" w:color="000000"/>
            </w:tcBorders>
            <w:vAlign w:val="center"/>
          </w:tcPr>
          <w:p w14:paraId="25A57ADF"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CI </w:t>
            </w:r>
          </w:p>
        </w:tc>
        <w:tc>
          <w:tcPr>
            <w:tcW w:w="891" w:type="dxa"/>
            <w:tcBorders>
              <w:top w:val="double" w:sz="6" w:space="0" w:color="000000"/>
              <w:left w:val="double" w:sz="6" w:space="0" w:color="000000"/>
              <w:bottom w:val="double" w:sz="6" w:space="0" w:color="000000"/>
              <w:right w:val="double" w:sz="6" w:space="0" w:color="000000"/>
            </w:tcBorders>
            <w:vAlign w:val="center"/>
          </w:tcPr>
          <w:p w14:paraId="58678FCE"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CI </w:t>
            </w:r>
          </w:p>
        </w:tc>
        <w:tc>
          <w:tcPr>
            <w:tcW w:w="989" w:type="dxa"/>
            <w:tcBorders>
              <w:top w:val="double" w:sz="6" w:space="0" w:color="000000"/>
              <w:left w:val="double" w:sz="6" w:space="0" w:color="000000"/>
              <w:bottom w:val="double" w:sz="6" w:space="0" w:color="000000"/>
              <w:right w:val="double" w:sz="6" w:space="0" w:color="000000"/>
            </w:tcBorders>
          </w:tcPr>
          <w:p w14:paraId="1804C707"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169" w:type="dxa"/>
            <w:tcBorders>
              <w:top w:val="double" w:sz="6" w:space="0" w:color="000000"/>
              <w:left w:val="double" w:sz="6" w:space="0" w:color="000000"/>
              <w:bottom w:val="double" w:sz="6" w:space="0" w:color="000000"/>
              <w:right w:val="double" w:sz="6" w:space="0" w:color="000000"/>
            </w:tcBorders>
            <w:vAlign w:val="center"/>
          </w:tcPr>
          <w:p w14:paraId="0A540E52"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1140" w:type="dxa"/>
            <w:tcBorders>
              <w:top w:val="double" w:sz="6" w:space="0" w:color="000000"/>
              <w:left w:val="double" w:sz="6" w:space="0" w:color="000000"/>
              <w:bottom w:val="double" w:sz="6" w:space="0" w:color="000000"/>
              <w:right w:val="double" w:sz="6" w:space="0" w:color="000000"/>
            </w:tcBorders>
          </w:tcPr>
          <w:p w14:paraId="55B60ACC"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044" w:type="dxa"/>
            <w:tcBorders>
              <w:top w:val="double" w:sz="6" w:space="0" w:color="000000"/>
              <w:left w:val="double" w:sz="6" w:space="0" w:color="000000"/>
              <w:bottom w:val="double" w:sz="6" w:space="0" w:color="000000"/>
              <w:right w:val="single" w:sz="4" w:space="0" w:color="000000"/>
            </w:tcBorders>
          </w:tcPr>
          <w:p w14:paraId="43C917FD"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r>
      <w:tr w:rsidR="00C23767" w:rsidRPr="00E66AB8" w14:paraId="47A3C0FC" w14:textId="77777777" w:rsidTr="00113465">
        <w:trPr>
          <w:trHeight w:val="516"/>
        </w:trPr>
        <w:tc>
          <w:tcPr>
            <w:tcW w:w="718" w:type="dxa"/>
            <w:tcBorders>
              <w:top w:val="double" w:sz="6" w:space="0" w:color="000000"/>
              <w:left w:val="single" w:sz="4" w:space="0" w:color="000000"/>
              <w:bottom w:val="double" w:sz="6" w:space="0" w:color="000000"/>
              <w:right w:val="double" w:sz="6" w:space="0" w:color="000000"/>
            </w:tcBorders>
            <w:vAlign w:val="center"/>
          </w:tcPr>
          <w:p w14:paraId="5E255504"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6.0 </w:t>
            </w:r>
          </w:p>
        </w:tc>
        <w:tc>
          <w:tcPr>
            <w:tcW w:w="1678" w:type="dxa"/>
            <w:tcBorders>
              <w:top w:val="double" w:sz="6" w:space="0" w:color="000000"/>
              <w:left w:val="double" w:sz="6" w:space="0" w:color="000000"/>
              <w:bottom w:val="double" w:sz="6" w:space="0" w:color="000000"/>
              <w:right w:val="double" w:sz="6" w:space="0" w:color="000000"/>
            </w:tcBorders>
            <w:vAlign w:val="center"/>
          </w:tcPr>
          <w:p w14:paraId="593B5484"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API Configuration </w:t>
            </w:r>
          </w:p>
        </w:tc>
        <w:tc>
          <w:tcPr>
            <w:tcW w:w="796" w:type="dxa"/>
            <w:tcBorders>
              <w:top w:val="double" w:sz="6" w:space="0" w:color="000000"/>
              <w:left w:val="double" w:sz="6" w:space="0" w:color="000000"/>
              <w:bottom w:val="double" w:sz="6" w:space="0" w:color="000000"/>
              <w:right w:val="double" w:sz="6" w:space="0" w:color="000000"/>
            </w:tcBorders>
          </w:tcPr>
          <w:p w14:paraId="54263287"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974" w:type="dxa"/>
            <w:tcBorders>
              <w:top w:val="double" w:sz="6" w:space="0" w:color="000000"/>
              <w:left w:val="double" w:sz="6" w:space="0" w:color="000000"/>
              <w:bottom w:val="double" w:sz="6" w:space="0" w:color="000000"/>
              <w:right w:val="double" w:sz="6" w:space="0" w:color="000000"/>
            </w:tcBorders>
            <w:vAlign w:val="center"/>
          </w:tcPr>
          <w:p w14:paraId="586D586E"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891" w:type="dxa"/>
            <w:tcBorders>
              <w:top w:val="double" w:sz="6" w:space="0" w:color="000000"/>
              <w:left w:val="double" w:sz="6" w:space="0" w:color="000000"/>
              <w:bottom w:val="double" w:sz="6" w:space="0" w:color="000000"/>
              <w:right w:val="double" w:sz="6" w:space="0" w:color="000000"/>
            </w:tcBorders>
            <w:vAlign w:val="center"/>
          </w:tcPr>
          <w:p w14:paraId="75E669AC"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A </w:t>
            </w:r>
          </w:p>
        </w:tc>
        <w:tc>
          <w:tcPr>
            <w:tcW w:w="989" w:type="dxa"/>
            <w:tcBorders>
              <w:top w:val="double" w:sz="6" w:space="0" w:color="000000"/>
              <w:left w:val="double" w:sz="6" w:space="0" w:color="000000"/>
              <w:bottom w:val="double" w:sz="6" w:space="0" w:color="000000"/>
              <w:right w:val="double" w:sz="6" w:space="0" w:color="000000"/>
            </w:tcBorders>
          </w:tcPr>
          <w:p w14:paraId="2370D30A"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169" w:type="dxa"/>
            <w:tcBorders>
              <w:top w:val="double" w:sz="6" w:space="0" w:color="000000"/>
              <w:left w:val="double" w:sz="6" w:space="0" w:color="000000"/>
              <w:bottom w:val="double" w:sz="6" w:space="0" w:color="000000"/>
              <w:right w:val="double" w:sz="6" w:space="0" w:color="000000"/>
            </w:tcBorders>
          </w:tcPr>
          <w:p w14:paraId="3A5CDB29"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CI </w:t>
            </w:r>
          </w:p>
        </w:tc>
        <w:tc>
          <w:tcPr>
            <w:tcW w:w="1140" w:type="dxa"/>
            <w:tcBorders>
              <w:top w:val="double" w:sz="6" w:space="0" w:color="000000"/>
              <w:left w:val="double" w:sz="6" w:space="0" w:color="000000"/>
              <w:bottom w:val="double" w:sz="6" w:space="0" w:color="000000"/>
              <w:right w:val="double" w:sz="6" w:space="0" w:color="000000"/>
            </w:tcBorders>
          </w:tcPr>
          <w:p w14:paraId="17507409"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044" w:type="dxa"/>
            <w:tcBorders>
              <w:top w:val="double" w:sz="6" w:space="0" w:color="000000"/>
              <w:left w:val="double" w:sz="6" w:space="0" w:color="000000"/>
              <w:bottom w:val="double" w:sz="6" w:space="0" w:color="000000"/>
              <w:right w:val="single" w:sz="4" w:space="0" w:color="000000"/>
            </w:tcBorders>
          </w:tcPr>
          <w:p w14:paraId="04804355"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r>
      <w:tr w:rsidR="00C23767" w:rsidRPr="00E66AB8" w14:paraId="1797B772" w14:textId="77777777" w:rsidTr="00113465">
        <w:trPr>
          <w:trHeight w:val="572"/>
        </w:trPr>
        <w:tc>
          <w:tcPr>
            <w:tcW w:w="718" w:type="dxa"/>
            <w:tcBorders>
              <w:top w:val="double" w:sz="6" w:space="0" w:color="000000"/>
              <w:left w:val="single" w:sz="4" w:space="0" w:color="000000"/>
              <w:bottom w:val="single" w:sz="4" w:space="0" w:color="000000"/>
              <w:right w:val="double" w:sz="6" w:space="0" w:color="000000"/>
            </w:tcBorders>
            <w:vAlign w:val="center"/>
          </w:tcPr>
          <w:p w14:paraId="702F6AB8"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7.0 </w:t>
            </w:r>
          </w:p>
        </w:tc>
        <w:tc>
          <w:tcPr>
            <w:tcW w:w="1678" w:type="dxa"/>
            <w:tcBorders>
              <w:top w:val="double" w:sz="6" w:space="0" w:color="000000"/>
              <w:left w:val="double" w:sz="6" w:space="0" w:color="000000"/>
              <w:bottom w:val="single" w:sz="4" w:space="0" w:color="000000"/>
              <w:right w:val="double" w:sz="6" w:space="0" w:color="000000"/>
            </w:tcBorders>
          </w:tcPr>
          <w:p w14:paraId="661E199D" w14:textId="77777777" w:rsidR="00C23767" w:rsidRPr="00E66AB8" w:rsidRDefault="005A7438" w:rsidP="00113465">
            <w:pPr>
              <w:spacing w:after="50" w:line="259" w:lineRule="auto"/>
              <w:ind w:left="90" w:firstLine="0"/>
              <w:jc w:val="left"/>
              <w:rPr>
                <w:rFonts w:asciiTheme="minorHAnsi" w:hAnsiTheme="minorHAnsi"/>
              </w:rPr>
            </w:pPr>
            <w:r w:rsidRPr="00E66AB8">
              <w:rPr>
                <w:rFonts w:asciiTheme="minorHAnsi" w:hAnsiTheme="minorHAnsi"/>
                <w:sz w:val="16"/>
              </w:rPr>
              <w:t xml:space="preserve">Reporting and </w:t>
            </w:r>
          </w:p>
          <w:p w14:paraId="2BC99725"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hAnsiTheme="minorHAnsi"/>
                <w:sz w:val="16"/>
              </w:rPr>
              <w:t xml:space="preserve">Metrics </w:t>
            </w:r>
          </w:p>
        </w:tc>
        <w:tc>
          <w:tcPr>
            <w:tcW w:w="796" w:type="dxa"/>
            <w:tcBorders>
              <w:top w:val="double" w:sz="6" w:space="0" w:color="000000"/>
              <w:left w:val="double" w:sz="6" w:space="0" w:color="000000"/>
              <w:bottom w:val="single" w:sz="4" w:space="0" w:color="000000"/>
              <w:right w:val="double" w:sz="6" w:space="0" w:color="000000"/>
            </w:tcBorders>
            <w:vAlign w:val="center"/>
          </w:tcPr>
          <w:p w14:paraId="6FB82AA0"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I </w:t>
            </w:r>
          </w:p>
        </w:tc>
        <w:tc>
          <w:tcPr>
            <w:tcW w:w="974" w:type="dxa"/>
            <w:tcBorders>
              <w:top w:val="double" w:sz="6" w:space="0" w:color="000000"/>
              <w:left w:val="double" w:sz="6" w:space="0" w:color="000000"/>
              <w:bottom w:val="single" w:sz="4" w:space="0" w:color="000000"/>
              <w:right w:val="double" w:sz="6" w:space="0" w:color="000000"/>
            </w:tcBorders>
          </w:tcPr>
          <w:p w14:paraId="07482135"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CI </w:t>
            </w:r>
          </w:p>
        </w:tc>
        <w:tc>
          <w:tcPr>
            <w:tcW w:w="891" w:type="dxa"/>
            <w:tcBorders>
              <w:top w:val="double" w:sz="6" w:space="0" w:color="000000"/>
              <w:left w:val="double" w:sz="6" w:space="0" w:color="000000"/>
              <w:bottom w:val="single" w:sz="4" w:space="0" w:color="000000"/>
              <w:right w:val="double" w:sz="6" w:space="0" w:color="000000"/>
            </w:tcBorders>
          </w:tcPr>
          <w:p w14:paraId="752EA313"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CI </w:t>
            </w:r>
          </w:p>
        </w:tc>
        <w:tc>
          <w:tcPr>
            <w:tcW w:w="989" w:type="dxa"/>
            <w:tcBorders>
              <w:top w:val="double" w:sz="6" w:space="0" w:color="000000"/>
              <w:left w:val="double" w:sz="6" w:space="0" w:color="000000"/>
              <w:bottom w:val="single" w:sz="4" w:space="0" w:color="000000"/>
              <w:right w:val="double" w:sz="6" w:space="0" w:color="000000"/>
            </w:tcBorders>
          </w:tcPr>
          <w:p w14:paraId="19331248"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I </w:t>
            </w:r>
          </w:p>
        </w:tc>
        <w:tc>
          <w:tcPr>
            <w:tcW w:w="1169" w:type="dxa"/>
            <w:tcBorders>
              <w:top w:val="double" w:sz="6" w:space="0" w:color="000000"/>
              <w:left w:val="double" w:sz="6" w:space="0" w:color="000000"/>
              <w:bottom w:val="single" w:sz="4" w:space="0" w:color="000000"/>
              <w:right w:val="double" w:sz="6" w:space="0" w:color="000000"/>
            </w:tcBorders>
          </w:tcPr>
          <w:p w14:paraId="575109BB" w14:textId="77777777" w:rsidR="00C23767" w:rsidRPr="00E66AB8" w:rsidRDefault="005A7438" w:rsidP="00113465">
            <w:pPr>
              <w:spacing w:after="0" w:line="259" w:lineRule="auto"/>
              <w:ind w:left="90" w:firstLine="0"/>
              <w:jc w:val="center"/>
              <w:rPr>
                <w:rFonts w:asciiTheme="minorHAnsi" w:hAnsiTheme="minorHAnsi"/>
              </w:rPr>
            </w:pPr>
            <w:r w:rsidRPr="00E66AB8">
              <w:rPr>
                <w:rFonts w:asciiTheme="minorHAnsi" w:hAnsiTheme="minorHAnsi"/>
                <w:sz w:val="16"/>
              </w:rPr>
              <w:t xml:space="preserve">RA </w:t>
            </w:r>
          </w:p>
        </w:tc>
        <w:tc>
          <w:tcPr>
            <w:tcW w:w="1140" w:type="dxa"/>
            <w:tcBorders>
              <w:top w:val="double" w:sz="6" w:space="0" w:color="000000"/>
              <w:left w:val="double" w:sz="6" w:space="0" w:color="000000"/>
              <w:bottom w:val="single" w:sz="4" w:space="0" w:color="000000"/>
              <w:right w:val="double" w:sz="6" w:space="0" w:color="000000"/>
            </w:tcBorders>
          </w:tcPr>
          <w:p w14:paraId="5AEF1FE7"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c>
          <w:tcPr>
            <w:tcW w:w="1044" w:type="dxa"/>
            <w:tcBorders>
              <w:top w:val="double" w:sz="6" w:space="0" w:color="000000"/>
              <w:left w:val="double" w:sz="6" w:space="0" w:color="000000"/>
              <w:bottom w:val="single" w:sz="4" w:space="0" w:color="000000"/>
              <w:right w:val="single" w:sz="4" w:space="0" w:color="000000"/>
            </w:tcBorders>
          </w:tcPr>
          <w:p w14:paraId="22A7BA03" w14:textId="77777777" w:rsidR="00C23767" w:rsidRPr="00E66AB8" w:rsidRDefault="005A7438" w:rsidP="00113465">
            <w:pPr>
              <w:spacing w:after="0" w:line="259" w:lineRule="auto"/>
              <w:ind w:left="90" w:firstLine="0"/>
              <w:jc w:val="left"/>
              <w:rPr>
                <w:rFonts w:asciiTheme="minorHAnsi" w:hAnsiTheme="minorHAnsi"/>
              </w:rPr>
            </w:pPr>
            <w:r w:rsidRPr="00E66AB8">
              <w:rPr>
                <w:rFonts w:asciiTheme="minorHAnsi" w:eastAsia="Times New Roman" w:hAnsiTheme="minorHAnsi"/>
                <w:sz w:val="18"/>
              </w:rPr>
              <w:t xml:space="preserve"> </w:t>
            </w:r>
          </w:p>
        </w:tc>
      </w:tr>
    </w:tbl>
    <w:p w14:paraId="72464F5C" w14:textId="77777777" w:rsidR="00C23767" w:rsidRPr="00E66AB8" w:rsidRDefault="005A7438" w:rsidP="00113465">
      <w:pPr>
        <w:spacing w:after="174"/>
        <w:ind w:left="90" w:right="136"/>
        <w:rPr>
          <w:rFonts w:asciiTheme="minorHAnsi" w:hAnsiTheme="minorHAnsi"/>
        </w:rPr>
      </w:pPr>
      <w:r w:rsidRPr="00E66AB8">
        <w:rPr>
          <w:rFonts w:asciiTheme="minorHAnsi" w:hAnsiTheme="minorHAnsi" w:cs="Arial"/>
          <w:b/>
        </w:rPr>
        <w:t xml:space="preserve">Responsible: </w:t>
      </w:r>
      <w:r w:rsidRPr="00E66AB8">
        <w:rPr>
          <w:rFonts w:asciiTheme="minorHAnsi" w:hAnsiTheme="minorHAnsi"/>
        </w:rPr>
        <w:t xml:space="preserve">The person(s) who does the work to accomplish the activity; they have been tasked with completing the activity or getting a decision made. </w:t>
      </w:r>
    </w:p>
    <w:p w14:paraId="0E5F6B65" w14:textId="77777777" w:rsidR="00C23767" w:rsidRPr="00E66AB8" w:rsidRDefault="005A7438" w:rsidP="00113465">
      <w:pPr>
        <w:spacing w:after="9"/>
        <w:ind w:left="90" w:right="25"/>
        <w:rPr>
          <w:rFonts w:asciiTheme="minorHAnsi" w:hAnsiTheme="minorHAnsi"/>
        </w:rPr>
      </w:pPr>
      <w:r w:rsidRPr="00E66AB8">
        <w:rPr>
          <w:rFonts w:asciiTheme="minorHAnsi" w:hAnsiTheme="minorHAnsi" w:cs="Arial"/>
          <w:b/>
        </w:rPr>
        <w:t xml:space="preserve">Accountable: </w:t>
      </w:r>
      <w:r w:rsidRPr="00E66AB8">
        <w:rPr>
          <w:rFonts w:asciiTheme="minorHAnsi" w:hAnsiTheme="minorHAnsi"/>
        </w:rPr>
        <w:t xml:space="preserve">The person(s) who is accountable for the completion of the activity. Ideally, this is a single person and is often an executive or program sponsor. </w:t>
      </w:r>
    </w:p>
    <w:p w14:paraId="7DA7B59D" w14:textId="77777777" w:rsidR="00C23767" w:rsidRPr="00E66AB8" w:rsidRDefault="005A7438" w:rsidP="00113465">
      <w:pPr>
        <w:ind w:left="90" w:right="25"/>
        <w:rPr>
          <w:rFonts w:asciiTheme="minorHAnsi" w:hAnsiTheme="minorHAnsi"/>
        </w:rPr>
      </w:pPr>
      <w:r w:rsidRPr="00E66AB8">
        <w:rPr>
          <w:rFonts w:asciiTheme="minorHAnsi" w:hAnsiTheme="minorHAnsi" w:cs="Arial"/>
          <w:b/>
        </w:rPr>
        <w:t xml:space="preserve">Consulted: </w:t>
      </w:r>
      <w:r w:rsidRPr="00E66AB8">
        <w:rPr>
          <w:rFonts w:asciiTheme="minorHAnsi" w:hAnsiTheme="minorHAnsi"/>
        </w:rPr>
        <w:t xml:space="preserve">The person(s) who provides information. This is usually several people, typically called subject matter experts (SMEs). </w:t>
      </w:r>
    </w:p>
    <w:p w14:paraId="25EF4385" w14:textId="77777777" w:rsidR="00C23767" w:rsidRPr="00E66AB8" w:rsidRDefault="005A7438" w:rsidP="00113465">
      <w:pPr>
        <w:ind w:left="90" w:right="25"/>
        <w:rPr>
          <w:rFonts w:asciiTheme="minorHAnsi" w:hAnsiTheme="minorHAnsi"/>
        </w:rPr>
      </w:pPr>
      <w:r w:rsidRPr="00E66AB8">
        <w:rPr>
          <w:rFonts w:asciiTheme="minorHAnsi" w:hAnsiTheme="minorHAnsi" w:cs="Arial"/>
          <w:b/>
        </w:rPr>
        <w:t>Informed</w:t>
      </w:r>
      <w:r w:rsidRPr="00E66AB8">
        <w:rPr>
          <w:rFonts w:asciiTheme="minorHAnsi" w:hAnsiTheme="minorHAnsi"/>
        </w:rPr>
        <w:t xml:space="preserve">: The person(s) who is updated on progress. These are resources that are affected by the outcome of the activities and need to be kept up to date. </w:t>
      </w:r>
    </w:p>
    <w:p w14:paraId="0714840B" w14:textId="41E107B2" w:rsidR="00F04182" w:rsidRDefault="00346779" w:rsidP="00113465">
      <w:pPr>
        <w:pStyle w:val="Heading1"/>
        <w:ind w:left="90"/>
      </w:pPr>
      <w:r>
        <w:br w:type="column"/>
      </w:r>
      <w:bookmarkStart w:id="78" w:name="_Toc232428871"/>
      <w:bookmarkStart w:id="79" w:name="_Toc232497742"/>
      <w:r w:rsidR="00F04182">
        <w:t>Exhibit B - Technical Addendum: Minimum Collector Hardware Specifications</w:t>
      </w:r>
      <w:bookmarkEnd w:id="78"/>
      <w:bookmarkEnd w:id="79"/>
    </w:p>
    <w:p w14:paraId="249F584F" w14:textId="77777777" w:rsidR="00F82EBC" w:rsidRDefault="00F82EBC" w:rsidP="00113465">
      <w:pPr>
        <w:ind w:left="90"/>
        <w:rPr>
          <w:kern w:val="0"/>
          <w:szCs w:val="20"/>
          <w14:ligatures w14:val="none"/>
        </w:rPr>
      </w:pPr>
      <w:r>
        <w:t>This Technical Addendum provides baseline hardware specifications for PacketWatch collector deployments. These specifications are intended to guide reseller, partner, and customer procurement of supported collector platforms and represent minimum standards unless otherwise approved in writing by PacketWatch. PacketWatch may approve equivalent or higher-performance configurations where appropriate for the deployment environment.</w:t>
      </w:r>
    </w:p>
    <w:tbl>
      <w:tblPr>
        <w:tblW w:w="9351" w:type="dxa"/>
        <w:tblInd w:w="-88"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2294"/>
        <w:gridCol w:w="2120"/>
        <w:gridCol w:w="2446"/>
        <w:gridCol w:w="2491"/>
      </w:tblGrid>
      <w:tr w:rsidR="00F04182" w:rsidRPr="00C33D86" w14:paraId="34BDF380" w14:textId="77777777" w:rsidTr="00113465">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5254FB5A" w14:textId="77777777" w:rsidR="00F04182" w:rsidRPr="00C33D86" w:rsidRDefault="00F04182" w:rsidP="00113465">
            <w:pPr>
              <w:spacing w:after="0"/>
              <w:ind w:left="90" w:firstLine="0"/>
              <w:jc w:val="center"/>
              <w:rPr>
                <w:rFonts w:asciiTheme="minorHAnsi" w:hAnsiTheme="minorHAnsi"/>
                <w:kern w:val="0"/>
                <w:sz w:val="16"/>
                <w:szCs w:val="21"/>
                <w14:ligatures w14:val="none"/>
              </w:rPr>
            </w:pPr>
            <w:r w:rsidRPr="00C33D86">
              <w:rPr>
                <w:rFonts w:asciiTheme="minorHAnsi" w:hAnsiTheme="minorHAnsi"/>
                <w:b/>
                <w:bCs/>
                <w:color w:val="FFFFFF"/>
                <w:sz w:val="16"/>
                <w:szCs w:val="21"/>
              </w:rPr>
              <w:t>Specification</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213B7B45" w14:textId="77777777" w:rsidR="00F04182" w:rsidRPr="00C33D86" w:rsidRDefault="00F04182" w:rsidP="00113465">
            <w:pPr>
              <w:spacing w:after="0"/>
              <w:ind w:left="90" w:firstLine="0"/>
              <w:jc w:val="center"/>
              <w:rPr>
                <w:rFonts w:asciiTheme="minorHAnsi" w:hAnsiTheme="minorHAnsi"/>
                <w:sz w:val="16"/>
                <w:szCs w:val="21"/>
              </w:rPr>
            </w:pPr>
            <w:r w:rsidRPr="00C33D86">
              <w:rPr>
                <w:rFonts w:asciiTheme="minorHAnsi" w:hAnsiTheme="minorHAnsi"/>
                <w:b/>
                <w:bCs/>
                <w:color w:val="FFFFFF"/>
                <w:sz w:val="16"/>
                <w:szCs w:val="21"/>
              </w:rPr>
              <w:t>Small Collector</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01F4DC2A" w14:textId="77777777" w:rsidR="00F04182" w:rsidRPr="00C33D86" w:rsidRDefault="00F04182" w:rsidP="00113465">
            <w:pPr>
              <w:spacing w:after="0"/>
              <w:ind w:left="90" w:firstLine="0"/>
              <w:jc w:val="center"/>
              <w:rPr>
                <w:rFonts w:asciiTheme="minorHAnsi" w:hAnsiTheme="minorHAnsi"/>
                <w:sz w:val="16"/>
                <w:szCs w:val="21"/>
              </w:rPr>
            </w:pPr>
            <w:r w:rsidRPr="00C33D86">
              <w:rPr>
                <w:rFonts w:asciiTheme="minorHAnsi" w:hAnsiTheme="minorHAnsi"/>
                <w:b/>
                <w:bCs/>
                <w:color w:val="FFFFFF"/>
                <w:sz w:val="16"/>
                <w:szCs w:val="21"/>
              </w:rPr>
              <w:t>Medium Collector</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29AEDF6C" w14:textId="77777777" w:rsidR="00F04182" w:rsidRPr="00C33D86" w:rsidRDefault="00F04182" w:rsidP="00113465">
            <w:pPr>
              <w:spacing w:after="0"/>
              <w:ind w:left="90" w:firstLine="0"/>
              <w:jc w:val="center"/>
              <w:rPr>
                <w:rFonts w:asciiTheme="minorHAnsi" w:hAnsiTheme="minorHAnsi"/>
                <w:sz w:val="16"/>
                <w:szCs w:val="21"/>
              </w:rPr>
            </w:pPr>
            <w:r w:rsidRPr="00C33D86">
              <w:rPr>
                <w:rFonts w:asciiTheme="minorHAnsi" w:hAnsiTheme="minorHAnsi"/>
                <w:b/>
                <w:bCs/>
                <w:color w:val="FFFFFF"/>
                <w:sz w:val="16"/>
                <w:szCs w:val="21"/>
              </w:rPr>
              <w:t>Large Collector</w:t>
            </w:r>
          </w:p>
        </w:tc>
      </w:tr>
      <w:tr w:rsidR="00F04182" w:rsidRPr="00C33D86" w14:paraId="79F1A38F"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763347FE"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DDAF4"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64 GB DDR4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589E6"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96 GB DDR4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80C6D"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256 GB DDR4</w:t>
            </w:r>
          </w:p>
        </w:tc>
      </w:tr>
      <w:tr w:rsidR="00F04182" w:rsidRPr="00C33D86" w14:paraId="750D9B23"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461CAFCB"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Processor Cores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0C88D"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A9FD7"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2D40C"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32</w:t>
            </w:r>
          </w:p>
        </w:tc>
      </w:tr>
      <w:tr w:rsidR="00F04182" w:rsidRPr="00C33D86" w14:paraId="10ABC23B"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26057232"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Performance Estimate (packets per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AB1F8"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25,000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A4DB6"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60,000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4180F"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100,000+</w:t>
            </w:r>
          </w:p>
        </w:tc>
      </w:tr>
      <w:tr w:rsidR="00F04182" w:rsidRPr="00C33D86" w14:paraId="2C208652"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28470F8D"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OS Drive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C5DF4"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 xml:space="preserve">250 GB </w:t>
            </w:r>
            <w:proofErr w:type="spellStart"/>
            <w:r w:rsidRPr="00C33D86">
              <w:rPr>
                <w:rFonts w:asciiTheme="minorHAnsi" w:hAnsiTheme="minorHAnsi"/>
                <w:sz w:val="16"/>
                <w:szCs w:val="21"/>
              </w:rPr>
              <w:t>NVMe</w:t>
            </w:r>
            <w:proofErr w:type="spellEnd"/>
            <w:r w:rsidRPr="00C33D86">
              <w:rPr>
                <w:rFonts w:asciiTheme="minorHAnsi" w:hAnsiTheme="minorHAnsi"/>
                <w:sz w:val="16"/>
                <w:szCs w:val="21"/>
              </w:rPr>
              <w:t xml:space="preserve"> M.2 SSD</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D294A"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 xml:space="preserve">250 GB </w:t>
            </w:r>
            <w:proofErr w:type="spellStart"/>
            <w:r w:rsidRPr="00C33D86">
              <w:rPr>
                <w:rFonts w:asciiTheme="minorHAnsi" w:hAnsiTheme="minorHAnsi"/>
                <w:sz w:val="16"/>
                <w:szCs w:val="21"/>
              </w:rPr>
              <w:t>NVMe</w:t>
            </w:r>
            <w:proofErr w:type="spellEnd"/>
            <w:r w:rsidRPr="00C33D86">
              <w:rPr>
                <w:rFonts w:asciiTheme="minorHAnsi" w:hAnsiTheme="minorHAnsi"/>
                <w:sz w:val="16"/>
                <w:szCs w:val="21"/>
              </w:rPr>
              <w:t xml:space="preserve"> M.2 SSD</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5D8F1"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 xml:space="preserve">250 GB </w:t>
            </w:r>
            <w:proofErr w:type="spellStart"/>
            <w:r w:rsidRPr="00C33D86">
              <w:rPr>
                <w:rFonts w:asciiTheme="minorHAnsi" w:hAnsiTheme="minorHAnsi"/>
                <w:sz w:val="16"/>
                <w:szCs w:val="21"/>
              </w:rPr>
              <w:t>NVMe</w:t>
            </w:r>
            <w:proofErr w:type="spellEnd"/>
            <w:r w:rsidRPr="00C33D86">
              <w:rPr>
                <w:rFonts w:asciiTheme="minorHAnsi" w:hAnsiTheme="minorHAnsi"/>
                <w:sz w:val="16"/>
                <w:szCs w:val="21"/>
              </w:rPr>
              <w:t xml:space="preserve"> SSD</w:t>
            </w:r>
          </w:p>
        </w:tc>
      </w:tr>
      <w:tr w:rsidR="00F04182" w:rsidRPr="00C33D86" w14:paraId="1BAAE7D9"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76CDB96C"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Data Storage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F68EF"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4 TB SSD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966AC"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2 × 4 TB SSD</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4CA20"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4 × 4 TB SSD</w:t>
            </w:r>
          </w:p>
        </w:tc>
      </w:tr>
      <w:tr w:rsidR="00F04182" w:rsidRPr="00C33D86" w14:paraId="057CF7A9"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068D287B"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Management Interfaces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6B672"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Minimum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2235B"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Minimum 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34222"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Minimum 2</w:t>
            </w:r>
          </w:p>
        </w:tc>
      </w:tr>
      <w:tr w:rsidR="00F04182" w:rsidRPr="00C33D86" w14:paraId="6EE576FF"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2635B1B0"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Capture Interfaces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E759D"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Minimum 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30F94"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Minimum 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9913D"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Minimum 2</w:t>
            </w:r>
          </w:p>
        </w:tc>
      </w:tr>
      <w:tr w:rsidR="00F04182" w:rsidRPr="00C33D86" w14:paraId="149C4CD4"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74130A6C"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Interface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3BFC2"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1 GB Ethernet Copper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025F4"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10 GB Ethernet Copper, or matched to switch speed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CEF7B"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100 GB Ethernet Copper, or matched to switch speed</w:t>
            </w:r>
          </w:p>
        </w:tc>
      </w:tr>
      <w:tr w:rsidR="00F04182" w:rsidRPr="00C33D86" w14:paraId="6EA4A7DD"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4B3C2054"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SPAN/TAP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12303"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1 GB Ethernet Copper Recommended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90488"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10 GB Ethernet Copper, or matched to switch speed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F921A"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100 GB Ethernet Copper, or matched to switch speed</w:t>
            </w:r>
          </w:p>
        </w:tc>
      </w:tr>
    </w:tbl>
    <w:p w14:paraId="52034EED" w14:textId="77777777" w:rsidR="00F04182" w:rsidRDefault="00F04182" w:rsidP="00113465">
      <w:pPr>
        <w:ind w:left="90"/>
        <w:rPr>
          <w:kern w:val="0"/>
          <w:szCs w:val="20"/>
          <w14:ligatures w14:val="none"/>
        </w:rPr>
      </w:pPr>
      <w:r>
        <w:t>Performance estimates are approximate and may vary based on traffic mix, packet size, interface configuration, enabled features, and overall deployment architecture. For virtual collector deployments, the customer must provide the required hypervisor environment and any applicable licensing. For physical collector deployments, the customer is responsible for providing the required hardware, rack space, power, connectivity, and any other deployment prerequisites identified in the applicable deployment materials or Order.</w:t>
      </w:r>
    </w:p>
    <w:p w14:paraId="0A385F9C" w14:textId="77777777" w:rsidR="00F04182" w:rsidRDefault="00F04182" w:rsidP="00113465">
      <w:pPr>
        <w:pStyle w:val="Heading3"/>
        <w:ind w:left="90"/>
        <w:rPr>
          <w:rFonts w:cstheme="minorBidi"/>
          <w:kern w:val="0"/>
          <w:szCs w:val="22"/>
          <w14:ligatures w14:val="none"/>
        </w:rPr>
      </w:pPr>
      <w:bookmarkStart w:id="80" w:name="_Toc232428872"/>
      <w:bookmarkStart w:id="81" w:name="_Toc232497743"/>
      <w:r>
        <w:rPr>
          <w:rFonts w:cstheme="minorBidi"/>
        </w:rPr>
        <w:t>Virtual Collector Deployment Requirements</w:t>
      </w:r>
      <w:bookmarkEnd w:id="80"/>
      <w:bookmarkEnd w:id="81"/>
    </w:p>
    <w:p w14:paraId="35B318C6" w14:textId="77777777" w:rsidR="00F04182" w:rsidRDefault="00F04182" w:rsidP="00113465">
      <w:pPr>
        <w:ind w:left="90"/>
        <w:rPr>
          <w:kern w:val="0"/>
          <w:szCs w:val="20"/>
          <w14:ligatures w14:val="none"/>
        </w:rPr>
      </w:pPr>
      <w:r>
        <w:t>The following virtual collector requirements provide baseline sizing guidance for PacketWatch deployments in customer-managed virtual environments. These requirements are intended to assist partners and customers in selecting appropriate virtual machine sizes across common cloud platforms and represent minimum standards unless otherwise approved by PacketWatch.</w:t>
      </w:r>
    </w:p>
    <w:tbl>
      <w:tblPr>
        <w:tblW w:w="9351" w:type="dxa"/>
        <w:tblInd w:w="-88"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2710"/>
        <w:gridCol w:w="2153"/>
        <w:gridCol w:w="2223"/>
        <w:gridCol w:w="2265"/>
      </w:tblGrid>
      <w:tr w:rsidR="00F04182" w:rsidRPr="00C33D86" w14:paraId="46E88176" w14:textId="77777777" w:rsidTr="00113465">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6A4B3886" w14:textId="77777777" w:rsidR="00F04182" w:rsidRPr="00C33D86" w:rsidRDefault="00F04182" w:rsidP="00113465">
            <w:pPr>
              <w:spacing w:after="0"/>
              <w:ind w:left="90" w:firstLine="0"/>
              <w:jc w:val="center"/>
              <w:rPr>
                <w:rFonts w:asciiTheme="minorHAnsi" w:hAnsiTheme="minorHAnsi"/>
                <w:kern w:val="0"/>
                <w:sz w:val="16"/>
                <w:szCs w:val="21"/>
                <w14:ligatures w14:val="none"/>
              </w:rPr>
            </w:pPr>
            <w:r w:rsidRPr="00C33D86">
              <w:rPr>
                <w:rFonts w:asciiTheme="minorHAnsi" w:hAnsiTheme="minorHAnsi"/>
                <w:b/>
                <w:bCs/>
                <w:color w:val="FFFFFF"/>
                <w:sz w:val="16"/>
                <w:szCs w:val="21"/>
              </w:rPr>
              <w:t>Specification</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62C44CBD" w14:textId="77777777" w:rsidR="00F04182" w:rsidRPr="00C33D86" w:rsidRDefault="00F04182" w:rsidP="00113465">
            <w:pPr>
              <w:spacing w:after="0"/>
              <w:ind w:left="90" w:firstLine="0"/>
              <w:jc w:val="center"/>
              <w:rPr>
                <w:rFonts w:asciiTheme="minorHAnsi" w:hAnsiTheme="minorHAnsi"/>
                <w:sz w:val="16"/>
                <w:szCs w:val="21"/>
              </w:rPr>
            </w:pPr>
            <w:r w:rsidRPr="00C33D86">
              <w:rPr>
                <w:rFonts w:asciiTheme="minorHAnsi" w:hAnsiTheme="minorHAnsi"/>
                <w:b/>
                <w:bCs/>
                <w:color w:val="FFFFFF"/>
                <w:sz w:val="16"/>
                <w:szCs w:val="21"/>
              </w:rPr>
              <w:t>Small Virtual Collector</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1FC0DA42" w14:textId="77777777" w:rsidR="00F04182" w:rsidRPr="00C33D86" w:rsidRDefault="00F04182" w:rsidP="00113465">
            <w:pPr>
              <w:spacing w:after="0"/>
              <w:ind w:left="90" w:firstLine="0"/>
              <w:jc w:val="center"/>
              <w:rPr>
                <w:rFonts w:asciiTheme="minorHAnsi" w:hAnsiTheme="minorHAnsi"/>
                <w:sz w:val="16"/>
                <w:szCs w:val="21"/>
              </w:rPr>
            </w:pPr>
            <w:r w:rsidRPr="00C33D86">
              <w:rPr>
                <w:rFonts w:asciiTheme="minorHAnsi" w:hAnsiTheme="minorHAnsi"/>
                <w:b/>
                <w:bCs/>
                <w:color w:val="FFFFFF"/>
                <w:sz w:val="16"/>
                <w:szCs w:val="21"/>
              </w:rPr>
              <w:t>Medium Virtual Collector</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4481E986" w14:textId="77777777" w:rsidR="00F04182" w:rsidRPr="00C33D86" w:rsidRDefault="00F04182" w:rsidP="00113465">
            <w:pPr>
              <w:spacing w:after="0"/>
              <w:ind w:left="90" w:firstLine="0"/>
              <w:jc w:val="center"/>
              <w:rPr>
                <w:rFonts w:asciiTheme="minorHAnsi" w:hAnsiTheme="minorHAnsi"/>
                <w:sz w:val="16"/>
                <w:szCs w:val="21"/>
              </w:rPr>
            </w:pPr>
            <w:r w:rsidRPr="00C33D86">
              <w:rPr>
                <w:rFonts w:asciiTheme="minorHAnsi" w:hAnsiTheme="minorHAnsi"/>
                <w:b/>
                <w:bCs/>
                <w:color w:val="FFFFFF"/>
                <w:sz w:val="16"/>
                <w:szCs w:val="21"/>
              </w:rPr>
              <w:t>Large Virtual Collector</w:t>
            </w:r>
          </w:p>
        </w:tc>
      </w:tr>
      <w:tr w:rsidR="00F04182" w:rsidRPr="00C33D86" w14:paraId="302336AF"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60BB6627"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Processor Cores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AE1A7"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F8455"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4815B"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32</w:t>
            </w:r>
          </w:p>
        </w:tc>
      </w:tr>
      <w:tr w:rsidR="00F04182" w:rsidRPr="00C33D86" w14:paraId="78B040E7"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51F59B02"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887D9"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64 GB DDR4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06DCB"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96 GB DDR4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0D60B"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256 GB DDR4</w:t>
            </w:r>
          </w:p>
        </w:tc>
      </w:tr>
      <w:tr w:rsidR="00F04182" w:rsidRPr="00C33D86" w14:paraId="7F0F637C"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1CB6E71D"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OS Drive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D0D7E"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250 GB</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B58F6"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512 GB</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0CC6E"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1 TB</w:t>
            </w:r>
          </w:p>
        </w:tc>
      </w:tr>
      <w:tr w:rsidR="00F04182" w:rsidRPr="00C33D86" w14:paraId="3B9140DD"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0C688FD9"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Data Storage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33ECB"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512 GB</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CA5BF"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1 TB</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F6C79"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4 TB</w:t>
            </w:r>
          </w:p>
        </w:tc>
      </w:tr>
      <w:tr w:rsidR="00F04182" w:rsidRPr="00C33D86" w14:paraId="18C40C8C"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4E722F22"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Performance Estimate (Gbps)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704D2"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Up to 1 Gbps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09B1F"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Up to 5 Gbps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BBBE4"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Up to 15 Gbps</w:t>
            </w:r>
          </w:p>
        </w:tc>
      </w:tr>
      <w:tr w:rsidR="00F04182" w:rsidRPr="00C33D86" w14:paraId="1F8EE341"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34220DDC"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Supported Deployment Environments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A70D7" w14:textId="77777777" w:rsidR="00F04182" w:rsidRPr="00C33D86" w:rsidRDefault="00F04182" w:rsidP="00C33D86">
            <w:pPr>
              <w:spacing w:after="0"/>
              <w:ind w:left="90" w:firstLine="0"/>
              <w:jc w:val="left"/>
              <w:rPr>
                <w:rFonts w:asciiTheme="minorHAnsi" w:hAnsiTheme="minorHAnsi"/>
                <w:sz w:val="16"/>
                <w:szCs w:val="21"/>
              </w:rPr>
            </w:pPr>
            <w:proofErr w:type="spellStart"/>
            <w:r w:rsidRPr="00C33D86">
              <w:rPr>
                <w:rFonts w:asciiTheme="minorHAnsi" w:hAnsiTheme="minorHAnsi"/>
                <w:sz w:val="16"/>
                <w:szCs w:val="21"/>
              </w:rPr>
              <w:t>ProxMox</w:t>
            </w:r>
            <w:proofErr w:type="spellEnd"/>
            <w:r w:rsidRPr="00C33D86">
              <w:rPr>
                <w:rFonts w:asciiTheme="minorHAnsi" w:hAnsiTheme="minorHAnsi"/>
                <w:sz w:val="16"/>
                <w:szCs w:val="21"/>
              </w:rPr>
              <w:t>, VMWare, Hyper-V</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79943" w14:textId="77777777" w:rsidR="00F04182" w:rsidRPr="00C33D86" w:rsidRDefault="00F04182" w:rsidP="00C33D86">
            <w:pPr>
              <w:spacing w:after="0"/>
              <w:ind w:left="90" w:firstLine="0"/>
              <w:jc w:val="left"/>
              <w:rPr>
                <w:rFonts w:asciiTheme="minorHAnsi" w:hAnsiTheme="minorHAnsi"/>
                <w:sz w:val="16"/>
                <w:szCs w:val="21"/>
              </w:rPr>
            </w:pPr>
            <w:proofErr w:type="spellStart"/>
            <w:r w:rsidRPr="00C33D86">
              <w:rPr>
                <w:rFonts w:asciiTheme="minorHAnsi" w:hAnsiTheme="minorHAnsi"/>
                <w:sz w:val="16"/>
                <w:szCs w:val="21"/>
              </w:rPr>
              <w:t>ProxMox</w:t>
            </w:r>
            <w:proofErr w:type="spellEnd"/>
            <w:r w:rsidRPr="00C33D86">
              <w:rPr>
                <w:rFonts w:asciiTheme="minorHAnsi" w:hAnsiTheme="minorHAnsi"/>
                <w:sz w:val="16"/>
                <w:szCs w:val="21"/>
              </w:rPr>
              <w:t>, VMWare, Hyper-V</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F58D0" w14:textId="77777777" w:rsidR="00F04182" w:rsidRPr="00C33D86" w:rsidRDefault="00F04182" w:rsidP="00C33D86">
            <w:pPr>
              <w:spacing w:after="0"/>
              <w:ind w:left="90" w:firstLine="0"/>
              <w:jc w:val="left"/>
              <w:rPr>
                <w:rFonts w:asciiTheme="minorHAnsi" w:hAnsiTheme="minorHAnsi"/>
                <w:sz w:val="16"/>
                <w:szCs w:val="21"/>
              </w:rPr>
            </w:pPr>
            <w:proofErr w:type="spellStart"/>
            <w:r w:rsidRPr="00C33D86">
              <w:rPr>
                <w:rFonts w:asciiTheme="minorHAnsi" w:hAnsiTheme="minorHAnsi"/>
                <w:sz w:val="16"/>
                <w:szCs w:val="21"/>
              </w:rPr>
              <w:t>ProxMox</w:t>
            </w:r>
            <w:proofErr w:type="spellEnd"/>
            <w:r w:rsidRPr="00C33D86">
              <w:rPr>
                <w:rFonts w:asciiTheme="minorHAnsi" w:hAnsiTheme="minorHAnsi"/>
                <w:sz w:val="16"/>
                <w:szCs w:val="21"/>
              </w:rPr>
              <w:t>, VMWare, Hyper-V</w:t>
            </w:r>
          </w:p>
        </w:tc>
      </w:tr>
      <w:tr w:rsidR="00F04182" w:rsidRPr="00C33D86" w14:paraId="466FDAE2"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47B0F739" w14:textId="77777777" w:rsidR="00F04182" w:rsidRPr="00C33D86" w:rsidRDefault="00F04182" w:rsidP="00113465">
            <w:pPr>
              <w:spacing w:after="0"/>
              <w:ind w:left="90" w:firstLine="0"/>
              <w:rPr>
                <w:rFonts w:asciiTheme="minorHAnsi" w:hAnsiTheme="minorHAnsi"/>
                <w:sz w:val="16"/>
                <w:szCs w:val="21"/>
              </w:rPr>
            </w:pPr>
            <w:r w:rsidRPr="00C33D86">
              <w:rPr>
                <w:rFonts w:asciiTheme="minorHAnsi" w:hAnsiTheme="minorHAnsi"/>
                <w:sz w:val="16"/>
                <w:szCs w:val="21"/>
              </w:rPr>
              <w:t>Suggested Cloud Instance Types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931E7" w14:textId="77777777" w:rsidR="00F04182" w:rsidRPr="00C33D86" w:rsidRDefault="00F04182" w:rsidP="00C33D86">
            <w:pPr>
              <w:spacing w:after="0"/>
              <w:ind w:left="90" w:firstLine="0"/>
              <w:jc w:val="left"/>
              <w:rPr>
                <w:rFonts w:asciiTheme="minorHAnsi" w:hAnsiTheme="minorHAnsi"/>
                <w:sz w:val="16"/>
                <w:szCs w:val="21"/>
              </w:rPr>
            </w:pPr>
            <w:r w:rsidRPr="00C33D86">
              <w:rPr>
                <w:rFonts w:asciiTheme="minorHAnsi" w:hAnsiTheme="minorHAnsi"/>
                <w:sz w:val="16"/>
                <w:szCs w:val="21"/>
              </w:rPr>
              <w:t>AWS: r6i.xlarge</w:t>
            </w:r>
            <w:r w:rsidRPr="00C33D86">
              <w:rPr>
                <w:rFonts w:asciiTheme="minorHAnsi" w:hAnsiTheme="minorHAnsi"/>
                <w:sz w:val="16"/>
                <w:szCs w:val="21"/>
              </w:rPr>
              <w:br/>
              <w:t>Microsoft Azure: D4s v5</w:t>
            </w:r>
            <w:r w:rsidRPr="00C33D86">
              <w:rPr>
                <w:rFonts w:asciiTheme="minorHAnsi" w:hAnsiTheme="minorHAnsi"/>
                <w:sz w:val="16"/>
                <w:szCs w:val="21"/>
              </w:rPr>
              <w:br/>
              <w:t>Google Cloud: n2-standard-4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C4FD8" w14:textId="77777777" w:rsidR="00F04182" w:rsidRPr="00C33D86" w:rsidRDefault="00F04182" w:rsidP="00C33D86">
            <w:pPr>
              <w:spacing w:after="0"/>
              <w:ind w:left="90" w:firstLine="0"/>
              <w:jc w:val="left"/>
              <w:rPr>
                <w:rFonts w:asciiTheme="minorHAnsi" w:hAnsiTheme="minorHAnsi"/>
                <w:sz w:val="16"/>
                <w:szCs w:val="21"/>
              </w:rPr>
            </w:pPr>
            <w:r w:rsidRPr="00C33D86">
              <w:rPr>
                <w:rFonts w:asciiTheme="minorHAnsi" w:hAnsiTheme="minorHAnsi"/>
                <w:sz w:val="16"/>
                <w:szCs w:val="21"/>
              </w:rPr>
              <w:t>AWS: r6i.4xlarge</w:t>
            </w:r>
            <w:r w:rsidRPr="00C33D86">
              <w:rPr>
                <w:rFonts w:asciiTheme="minorHAnsi" w:hAnsiTheme="minorHAnsi"/>
                <w:sz w:val="16"/>
                <w:szCs w:val="21"/>
              </w:rPr>
              <w:br/>
              <w:t>Microsoft Azure: D16s v5</w:t>
            </w:r>
            <w:r w:rsidRPr="00C33D86">
              <w:rPr>
                <w:rFonts w:asciiTheme="minorHAnsi" w:hAnsiTheme="minorHAnsi"/>
                <w:sz w:val="16"/>
                <w:szCs w:val="21"/>
              </w:rPr>
              <w:br/>
              <w:t>Google Cloud: n2-standard-16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00515" w14:textId="77777777" w:rsidR="00F04182" w:rsidRPr="00C33D86" w:rsidRDefault="00F04182" w:rsidP="00C33D86">
            <w:pPr>
              <w:spacing w:after="0"/>
              <w:ind w:left="90" w:firstLine="0"/>
              <w:jc w:val="left"/>
              <w:rPr>
                <w:rFonts w:asciiTheme="minorHAnsi" w:hAnsiTheme="minorHAnsi"/>
                <w:sz w:val="16"/>
                <w:szCs w:val="21"/>
              </w:rPr>
            </w:pPr>
            <w:r w:rsidRPr="00C33D86">
              <w:rPr>
                <w:rFonts w:asciiTheme="minorHAnsi" w:hAnsiTheme="minorHAnsi"/>
                <w:sz w:val="16"/>
                <w:szCs w:val="21"/>
              </w:rPr>
              <w:t>AWS: r6i.8xlarge</w:t>
            </w:r>
            <w:r w:rsidRPr="00C33D86">
              <w:rPr>
                <w:rFonts w:asciiTheme="minorHAnsi" w:hAnsiTheme="minorHAnsi"/>
                <w:sz w:val="16"/>
                <w:szCs w:val="21"/>
              </w:rPr>
              <w:br/>
              <w:t>Microsoft Azure: E32s v5</w:t>
            </w:r>
            <w:r w:rsidRPr="00C33D86">
              <w:rPr>
                <w:rFonts w:asciiTheme="minorHAnsi" w:hAnsiTheme="minorHAnsi"/>
                <w:sz w:val="16"/>
                <w:szCs w:val="21"/>
              </w:rPr>
              <w:br/>
              <w:t>Google Cloud: n2-highmem-32</w:t>
            </w:r>
          </w:p>
        </w:tc>
      </w:tr>
    </w:tbl>
    <w:p w14:paraId="44500244" w14:textId="77777777" w:rsidR="00F04182" w:rsidRDefault="00F04182" w:rsidP="00113465">
      <w:pPr>
        <w:ind w:left="90"/>
        <w:rPr>
          <w:kern w:val="0"/>
          <w:szCs w:val="20"/>
          <w14:ligatures w14:val="none"/>
        </w:rPr>
      </w:pPr>
      <w:r>
        <w:t>Virtual collector performance estimates are approximate and may vary based on traffic mix, packet distribution across virtual CPUs, storage performance, resource allocation, interface configuration, and overall deployment architecture. Virtual collectors must run on dedicated virtual machines with no CPU or memory overprovisioning. Customers are responsible for all virtual infrastructure, storage, data transfer, and related platform costs. The environment must also be actively supported by the software vendor and fully patched with current security updates.</w:t>
      </w:r>
    </w:p>
    <w:p w14:paraId="0367E60C" w14:textId="77777777" w:rsidR="00F04182" w:rsidRDefault="00F04182" w:rsidP="00113465">
      <w:pPr>
        <w:pStyle w:val="Heading3"/>
        <w:ind w:left="90"/>
        <w:rPr>
          <w:rFonts w:cstheme="minorBidi"/>
          <w:kern w:val="0"/>
          <w:szCs w:val="22"/>
          <w14:ligatures w14:val="none"/>
        </w:rPr>
      </w:pPr>
      <w:bookmarkStart w:id="82" w:name="_Toc232428873"/>
      <w:bookmarkStart w:id="83" w:name="_Toc232497744"/>
      <w:r>
        <w:rPr>
          <w:rFonts w:cstheme="minorBidi"/>
        </w:rPr>
        <w:t>Public Cloud Collector Deployment Requirements</w:t>
      </w:r>
      <w:bookmarkEnd w:id="82"/>
      <w:bookmarkEnd w:id="83"/>
    </w:p>
    <w:p w14:paraId="2A8D962A" w14:textId="01F98ADD" w:rsidR="00F04182" w:rsidRDefault="00F04182" w:rsidP="00113465">
      <w:pPr>
        <w:ind w:left="90"/>
      </w:pPr>
      <w:r>
        <w:t>PacketWatch currently supports packet capture in AWS and Azure public clouds. In the current cloud collector architecture, mirrored network traffic is forwarded from the customer’s public cloud tenant to the corresponding PacketWatch tenant where the cloud collector resides. The customer’s environment must be configured to forward the required mirrored traffic. The customer is responsible for any additional costs in their tenant related to mirroring and forwarding network traffic, as well as the costs associated with the collector(s) hosted in the PacketWatch tenant.</w:t>
      </w:r>
    </w:p>
    <w:p w14:paraId="4FE0E68D" w14:textId="77777777" w:rsidR="00F04182" w:rsidRDefault="00F04182" w:rsidP="00113465">
      <w:pPr>
        <w:ind w:left="90"/>
        <w:rPr>
          <w:kern w:val="0"/>
          <w:szCs w:val="20"/>
          <w14:ligatures w14:val="none"/>
        </w:rPr>
      </w:pPr>
      <w:r>
        <w:br w:type="column"/>
      </w:r>
    </w:p>
    <w:p w14:paraId="415608F1" w14:textId="77777777" w:rsidR="00243B9A" w:rsidRDefault="00243B9A" w:rsidP="00243B9A">
      <w:pPr>
        <w:pStyle w:val="Heading1"/>
        <w:ind w:left="90"/>
        <w:rPr>
          <w:kern w:val="36"/>
          <w:szCs w:val="28"/>
          <w14:ligatures w14:val="none"/>
        </w:rPr>
      </w:pPr>
      <w:bookmarkStart w:id="84" w:name="_Toc232428874"/>
      <w:bookmarkStart w:id="85" w:name="_Toc232497745"/>
      <w:r>
        <w:t>Exhibit C - Order Line Items and Commercial Schedule</w:t>
      </w:r>
      <w:bookmarkEnd w:id="84"/>
      <w:bookmarkEnd w:id="85"/>
    </w:p>
    <w:p w14:paraId="78C800B8" w14:textId="77777777" w:rsidR="00F04182" w:rsidRDefault="00F04182" w:rsidP="00113465">
      <w:pPr>
        <w:ind w:left="90"/>
      </w:pPr>
      <w:r>
        <w:t>This Exhibit C sets forth a recommended format for identifying the subscription components, services, quantities, optional modules, third-party products, deployment assumptions, and commercial pricing applicable to an Order. The applicable Order should specify the line items purchased, the associated quantities, pricing, and any order-specific notes or implementation assumptions. This exhibit is intended as a commercial schedule template and should be read together with the governing agreement and any applicable schedules incorporated into the Order.</w:t>
      </w:r>
    </w:p>
    <w:tbl>
      <w:tblPr>
        <w:tblW w:w="9351" w:type="dxa"/>
        <w:tblInd w:w="-88"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1777"/>
        <w:gridCol w:w="1284"/>
        <w:gridCol w:w="784"/>
        <w:gridCol w:w="1205"/>
        <w:gridCol w:w="4301"/>
      </w:tblGrid>
      <w:tr w:rsidR="00F82EBC" w14:paraId="0D08AD0E" w14:textId="77777777" w:rsidTr="00113465">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7FD0A75C" w14:textId="77777777" w:rsidR="00F82EBC" w:rsidRDefault="00F82EBC" w:rsidP="00113465">
            <w:pPr>
              <w:spacing w:after="0"/>
              <w:ind w:left="90" w:firstLine="0"/>
              <w:jc w:val="center"/>
              <w:rPr>
                <w:kern w:val="0"/>
                <w:szCs w:val="20"/>
                <w14:ligatures w14:val="none"/>
              </w:rPr>
            </w:pPr>
            <w:r>
              <w:rPr>
                <w:b/>
                <w:bCs/>
                <w:color w:val="FFFFFF"/>
              </w:rPr>
              <w:t>Line Item</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02B16D23" w14:textId="77777777" w:rsidR="00F82EBC" w:rsidRDefault="00F82EBC" w:rsidP="00113465">
            <w:pPr>
              <w:spacing w:after="0"/>
              <w:ind w:left="90" w:firstLine="0"/>
              <w:jc w:val="center"/>
            </w:pPr>
            <w:r>
              <w:rPr>
                <w:b/>
                <w:bCs/>
                <w:color w:val="FFFFFF"/>
              </w:rPr>
              <w:t>Qty / Unit</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6BB47CCD" w14:textId="77777777" w:rsidR="00F82EBC" w:rsidRDefault="00F82EBC" w:rsidP="00113465">
            <w:pPr>
              <w:spacing w:after="0"/>
              <w:ind w:left="90" w:firstLine="0"/>
              <w:jc w:val="center"/>
            </w:pPr>
            <w:r>
              <w:rPr>
                <w:b/>
                <w:bCs/>
                <w:color w:val="FFFFFF"/>
              </w:rPr>
              <w:t>Unit Price</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0624C14F" w14:textId="77777777" w:rsidR="00F82EBC" w:rsidRDefault="00F82EBC" w:rsidP="00113465">
            <w:pPr>
              <w:spacing w:after="0"/>
              <w:ind w:left="90" w:firstLine="0"/>
              <w:jc w:val="center"/>
            </w:pPr>
            <w:r>
              <w:rPr>
                <w:b/>
                <w:bCs/>
                <w:color w:val="FFFFFF"/>
              </w:rPr>
              <w:t>Extended Price</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4B18AF44" w14:textId="77777777" w:rsidR="00F82EBC" w:rsidRDefault="00F82EBC" w:rsidP="00113465">
            <w:pPr>
              <w:spacing w:after="0"/>
              <w:ind w:left="90" w:firstLine="0"/>
              <w:jc w:val="center"/>
            </w:pPr>
            <w:r>
              <w:rPr>
                <w:b/>
                <w:bCs/>
                <w:color w:val="FFFFFF"/>
              </w:rPr>
              <w:t>Order Detail / Notes</w:t>
            </w:r>
          </w:p>
        </w:tc>
      </w:tr>
      <w:tr w:rsidR="00F82EBC" w14:paraId="5A8C7D60" w14:textId="77777777" w:rsidTr="00113465">
        <w:tc>
          <w:tcPr>
            <w:tcW w:w="0" w:type="auto"/>
            <w:gridSpan w:val="5"/>
            <w:tcBorders>
              <w:top w:val="outset" w:sz="6" w:space="0" w:color="auto"/>
              <w:left w:val="outset" w:sz="6" w:space="0" w:color="auto"/>
              <w:bottom w:val="outset" w:sz="6" w:space="0" w:color="auto"/>
              <w:right w:val="outset" w:sz="6" w:space="0" w:color="auto"/>
            </w:tcBorders>
            <w:shd w:val="clear" w:color="auto" w:fill="D9EAF7"/>
            <w:vAlign w:val="center"/>
            <w:hideMark/>
          </w:tcPr>
          <w:p w14:paraId="20E3B466" w14:textId="77777777" w:rsidR="00F82EBC" w:rsidRDefault="00F82EBC" w:rsidP="00113465">
            <w:pPr>
              <w:spacing w:after="0"/>
              <w:ind w:left="90" w:firstLine="0"/>
            </w:pPr>
            <w:r>
              <w:rPr>
                <w:b/>
                <w:bCs/>
              </w:rPr>
              <w:t xml:space="preserve">Section A - </w:t>
            </w:r>
            <w:proofErr w:type="spellStart"/>
            <w:r>
              <w:rPr>
                <w:b/>
                <w:bCs/>
              </w:rPr>
              <w:t>WireSight</w:t>
            </w:r>
            <w:proofErr w:type="spellEnd"/>
            <w:r>
              <w:rPr>
                <w:b/>
                <w:bCs/>
              </w:rPr>
              <w:t xml:space="preserve"> Subscription and Platform Components</w:t>
            </w:r>
          </w:p>
        </w:tc>
      </w:tr>
      <w:tr w:rsidR="00F82EBC" w14:paraId="32D3F0FE" w14:textId="77777777" w:rsidTr="00C33D86">
        <w:tc>
          <w:tcPr>
            <w:tcW w:w="0" w:type="auto"/>
            <w:tcBorders>
              <w:top w:val="outset" w:sz="6" w:space="0" w:color="auto"/>
              <w:left w:val="outset" w:sz="6" w:space="0" w:color="auto"/>
              <w:bottom w:val="outset" w:sz="6" w:space="0" w:color="auto"/>
              <w:right w:val="outset" w:sz="6" w:space="0" w:color="auto"/>
            </w:tcBorders>
            <w:vAlign w:val="center"/>
            <w:hideMark/>
          </w:tcPr>
          <w:p w14:paraId="5AB2C149" w14:textId="77777777" w:rsidR="00F82EBC" w:rsidRDefault="00F82EBC" w:rsidP="00113465">
            <w:pPr>
              <w:spacing w:after="0"/>
              <w:ind w:left="90" w:firstLine="0"/>
            </w:pPr>
            <w:proofErr w:type="spellStart"/>
            <w:r>
              <w:t>WireSight</w:t>
            </w:r>
            <w:proofErr w:type="spellEnd"/>
            <w:r>
              <w:t xml:space="preserve"> Subscription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DFF90" w14:textId="77777777" w:rsidR="00F82EBC" w:rsidRPr="00113465" w:rsidRDefault="00F82EBC" w:rsidP="00113465">
            <w:pPr>
              <w:spacing w:after="0"/>
              <w:ind w:left="90" w:firstLine="0"/>
              <w:rPr>
                <w:sz w:val="16"/>
                <w:szCs w:val="16"/>
              </w:rPr>
            </w:pPr>
            <w:r w:rsidRPr="00113465">
              <w:rPr>
                <w:sz w:val="16"/>
                <w:szCs w:val="16"/>
              </w:rPr>
              <w:t>1 subscription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1FC53"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9BACC" w14:textId="77777777" w:rsidR="00F82EBC" w:rsidRDefault="00F82EBC" w:rsidP="00113465">
            <w:pPr>
              <w:ind w:left="90"/>
            </w:pPr>
          </w:p>
        </w:tc>
        <w:tc>
          <w:tcPr>
            <w:tcW w:w="0" w:type="auto"/>
            <w:tcMar>
              <w:top w:w="80" w:type="dxa"/>
              <w:left w:w="80" w:type="dxa"/>
              <w:bottom w:w="80" w:type="dxa"/>
              <w:right w:w="80" w:type="dxa"/>
            </w:tcMar>
            <w:vAlign w:val="center"/>
            <w:hideMark/>
          </w:tcPr>
          <w:p w14:paraId="4E6FD1E4" w14:textId="6A80ED75" w:rsidR="00F82EBC" w:rsidRPr="00113465" w:rsidRDefault="00C33D86" w:rsidP="00C33D86">
            <w:pPr>
              <w:spacing w:after="0"/>
              <w:ind w:left="90" w:firstLine="0"/>
              <w:rPr>
                <w:sz w:val="16"/>
                <w:szCs w:val="16"/>
              </w:rPr>
            </w:pPr>
            <w:r>
              <w:rPr>
                <w:sz w:val="16"/>
                <w:szCs w:val="16"/>
              </w:rPr>
              <w:t xml:space="preserve">Identify subscription </w:t>
            </w:r>
            <w:proofErr w:type="gramStart"/>
            <w:r>
              <w:rPr>
                <w:sz w:val="16"/>
                <w:szCs w:val="16"/>
              </w:rPr>
              <w:t>term</w:t>
            </w:r>
            <w:proofErr w:type="gramEnd"/>
            <w:r>
              <w:rPr>
                <w:sz w:val="16"/>
                <w:szCs w:val="16"/>
              </w:rPr>
              <w:t xml:space="preserve">, service start date, and whether the separate </w:t>
            </w:r>
            <w:proofErr w:type="spellStart"/>
            <w:r>
              <w:rPr>
                <w:sz w:val="16"/>
                <w:szCs w:val="16"/>
              </w:rPr>
              <w:t>WireSight</w:t>
            </w:r>
            <w:proofErr w:type="spellEnd"/>
            <w:r>
              <w:rPr>
                <w:sz w:val="16"/>
                <w:szCs w:val="16"/>
              </w:rPr>
              <w:t xml:space="preserve"> Platform Description schedule applies. Unless otherwise stated in the applicable Order, the base subscription includes a license for 1 collector, but not the underlying hardware or virtual infrastructure. Additional collectors, higher-capacity configurations, additional storage, and related deployment or configuration support may be purchased separately, subject to </w:t>
            </w:r>
            <w:proofErr w:type="spellStart"/>
            <w:r>
              <w:rPr>
                <w:sz w:val="16"/>
                <w:szCs w:val="16"/>
              </w:rPr>
              <w:t>PacketWatch’s</w:t>
            </w:r>
            <w:proofErr w:type="spellEnd"/>
            <w:r>
              <w:rPr>
                <w:sz w:val="16"/>
                <w:szCs w:val="16"/>
              </w:rPr>
              <w:t xml:space="preserve"> then-current offerings and written approval where required.</w:t>
            </w:r>
          </w:p>
        </w:tc>
      </w:tr>
      <w:tr w:rsidR="00F82EBC" w14:paraId="43461A51"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07D11FF6" w14:textId="77777777" w:rsidR="00F82EBC" w:rsidRDefault="00F82EBC" w:rsidP="00113465">
            <w:pPr>
              <w:spacing w:after="0"/>
              <w:ind w:left="90" w:firstLine="0"/>
            </w:pPr>
            <w:r>
              <w:t>Authorized Users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3D21E" w14:textId="77777777" w:rsidR="00F82EBC" w:rsidRPr="00113465" w:rsidRDefault="00F82EBC" w:rsidP="00113465">
            <w:pPr>
              <w:spacing w:after="0"/>
              <w:ind w:left="90" w:firstLine="0"/>
              <w:rPr>
                <w:sz w:val="16"/>
                <w:szCs w:val="16"/>
              </w:rPr>
            </w:pPr>
            <w:r w:rsidRPr="00113465">
              <w:rPr>
                <w:sz w:val="16"/>
                <w:szCs w:val="16"/>
              </w:rPr>
              <w:t>Number of users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0BA1D"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3CD0D60F"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32B0CA1A" w14:textId="77777777" w:rsidR="00F82EBC" w:rsidRPr="00113465" w:rsidRDefault="00F82EBC" w:rsidP="00113465">
            <w:pPr>
              <w:spacing w:after="0"/>
              <w:ind w:left="90" w:firstLine="0"/>
              <w:rPr>
                <w:sz w:val="16"/>
                <w:szCs w:val="16"/>
              </w:rPr>
            </w:pPr>
            <w:r w:rsidRPr="00113465">
              <w:rPr>
                <w:sz w:val="16"/>
                <w:szCs w:val="16"/>
              </w:rPr>
              <w:t>Unless otherwise stated, the base subscription includes up to 5 users. The Order should specify the total number of authorized users.</w:t>
            </w:r>
          </w:p>
        </w:tc>
      </w:tr>
      <w:tr w:rsidR="00F82EBC" w14:paraId="791ACA02"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736C6B37" w14:textId="77777777" w:rsidR="00F82EBC" w:rsidRDefault="00F82EBC" w:rsidP="00113465">
            <w:pPr>
              <w:spacing w:after="0"/>
              <w:ind w:left="90" w:firstLine="0"/>
            </w:pPr>
            <w:proofErr w:type="spellStart"/>
            <w:r>
              <w:t>Irix</w:t>
            </w:r>
            <w:proofErr w:type="spellEnd"/>
            <w:r>
              <w:t xml:space="preserve"> Optional Module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A1C5C" w14:textId="77777777" w:rsidR="00F82EBC" w:rsidRPr="00113465" w:rsidRDefault="00F82EBC" w:rsidP="00113465">
            <w:pPr>
              <w:spacing w:after="0"/>
              <w:ind w:left="90" w:firstLine="0"/>
              <w:rPr>
                <w:sz w:val="16"/>
                <w:szCs w:val="16"/>
              </w:rPr>
            </w:pPr>
            <w:r w:rsidRPr="00113465">
              <w:rPr>
                <w:sz w:val="16"/>
                <w:szCs w:val="16"/>
              </w:rPr>
              <w:t>0 or 1 module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EC72C"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012B9CFC"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0132134B" w14:textId="77777777" w:rsidR="00F82EBC" w:rsidRPr="00113465" w:rsidRDefault="00F82EBC" w:rsidP="00113465">
            <w:pPr>
              <w:spacing w:after="0"/>
              <w:ind w:left="90" w:firstLine="0"/>
              <w:rPr>
                <w:sz w:val="16"/>
                <w:szCs w:val="16"/>
              </w:rPr>
            </w:pPr>
            <w:r w:rsidRPr="00113465">
              <w:rPr>
                <w:sz w:val="16"/>
                <w:szCs w:val="16"/>
              </w:rPr>
              <w:t xml:space="preserve">State whether </w:t>
            </w:r>
            <w:proofErr w:type="spellStart"/>
            <w:r w:rsidRPr="00113465">
              <w:rPr>
                <w:sz w:val="16"/>
                <w:szCs w:val="16"/>
              </w:rPr>
              <w:t>Irix</w:t>
            </w:r>
            <w:proofErr w:type="spellEnd"/>
            <w:r w:rsidRPr="00113465">
              <w:rPr>
                <w:sz w:val="16"/>
                <w:szCs w:val="16"/>
              </w:rPr>
              <w:t xml:space="preserve"> is included. If included, note that it is an optional module within </w:t>
            </w:r>
            <w:proofErr w:type="spellStart"/>
            <w:r w:rsidRPr="00113465">
              <w:rPr>
                <w:sz w:val="16"/>
                <w:szCs w:val="16"/>
              </w:rPr>
              <w:t>WireSight</w:t>
            </w:r>
            <w:proofErr w:type="spellEnd"/>
            <w:r w:rsidRPr="00113465">
              <w:rPr>
                <w:sz w:val="16"/>
                <w:szCs w:val="16"/>
              </w:rPr>
              <w:t>.</w:t>
            </w:r>
          </w:p>
        </w:tc>
      </w:tr>
      <w:tr w:rsidR="00F82EBC" w14:paraId="4BBF5096"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13C4A90C" w14:textId="77777777" w:rsidR="00F82EBC" w:rsidRDefault="00F82EBC" w:rsidP="00113465">
            <w:pPr>
              <w:spacing w:after="0"/>
              <w:ind w:left="90" w:firstLine="0"/>
            </w:pPr>
            <w:r>
              <w:t>Base Cloud Metadata Storage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5F551" w14:textId="77777777" w:rsidR="00F82EBC" w:rsidRPr="00113465" w:rsidRDefault="00F82EBC" w:rsidP="00113465">
            <w:pPr>
              <w:spacing w:after="0"/>
              <w:ind w:left="90" w:firstLine="0"/>
              <w:rPr>
                <w:sz w:val="16"/>
                <w:szCs w:val="16"/>
              </w:rPr>
            </w:pPr>
            <w:r w:rsidRPr="00113465">
              <w:rPr>
                <w:sz w:val="16"/>
                <w:szCs w:val="16"/>
              </w:rPr>
              <w:t>50 GB</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11AF6"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6DA436D7"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4FD8D063" w14:textId="77777777" w:rsidR="00F82EBC" w:rsidRPr="00113465" w:rsidRDefault="00F82EBC" w:rsidP="00113465">
            <w:pPr>
              <w:spacing w:after="0"/>
              <w:ind w:left="90" w:firstLine="0"/>
              <w:rPr>
                <w:sz w:val="16"/>
                <w:szCs w:val="16"/>
              </w:rPr>
            </w:pPr>
            <w:r w:rsidRPr="00113465">
              <w:rPr>
                <w:sz w:val="16"/>
                <w:szCs w:val="16"/>
              </w:rPr>
              <w:t>Specify the base hosted metadata storage amount included in the subscription.</w:t>
            </w:r>
          </w:p>
        </w:tc>
      </w:tr>
      <w:tr w:rsidR="00F82EBC" w14:paraId="7585C5F5"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0583768B" w14:textId="77777777" w:rsidR="00F82EBC" w:rsidRDefault="00F82EBC" w:rsidP="00113465">
            <w:pPr>
              <w:spacing w:after="0"/>
              <w:ind w:left="90" w:firstLine="0"/>
            </w:pPr>
            <w:r>
              <w:t>Additional Cloud Metadata Storage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76320" w14:textId="77777777" w:rsidR="00F82EBC" w:rsidRPr="00113465" w:rsidRDefault="00F82EBC" w:rsidP="00113465">
            <w:pPr>
              <w:spacing w:after="0"/>
              <w:ind w:left="90" w:firstLine="0"/>
              <w:rPr>
                <w:sz w:val="16"/>
                <w:szCs w:val="16"/>
              </w:rPr>
            </w:pPr>
            <w:r w:rsidRPr="00113465">
              <w:rPr>
                <w:sz w:val="16"/>
                <w:szCs w:val="16"/>
              </w:rPr>
              <w:t>Additional GB</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2980B"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679FBA88"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75C3D9C1" w14:textId="77777777" w:rsidR="00F82EBC" w:rsidRPr="00113465" w:rsidRDefault="00F82EBC" w:rsidP="00113465">
            <w:pPr>
              <w:spacing w:after="0"/>
              <w:ind w:left="90" w:firstLine="0"/>
              <w:rPr>
                <w:sz w:val="16"/>
                <w:szCs w:val="16"/>
              </w:rPr>
            </w:pPr>
            <w:r w:rsidRPr="00113465">
              <w:rPr>
                <w:sz w:val="16"/>
                <w:szCs w:val="16"/>
              </w:rPr>
              <w:t>Use if additional hosted metadata storage is purchased above the base amount.</w:t>
            </w:r>
          </w:p>
        </w:tc>
      </w:tr>
      <w:tr w:rsidR="00F82EBC" w14:paraId="6C1A3CE0"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28084A28" w14:textId="77777777" w:rsidR="00F82EBC" w:rsidRDefault="00F82EBC" w:rsidP="00113465">
            <w:pPr>
              <w:spacing w:after="0"/>
              <w:ind w:left="90" w:firstLine="0"/>
            </w:pPr>
            <w:r>
              <w:t>Storage Location / Region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1A7A3" w14:textId="77777777" w:rsidR="00F82EBC" w:rsidRPr="00113465" w:rsidRDefault="00F82EBC" w:rsidP="00113465">
            <w:pPr>
              <w:spacing w:after="0"/>
              <w:ind w:left="90" w:firstLine="0"/>
              <w:rPr>
                <w:sz w:val="16"/>
                <w:szCs w:val="16"/>
              </w:rPr>
            </w:pPr>
            <w:r w:rsidRPr="00113465">
              <w:rPr>
                <w:sz w:val="16"/>
                <w:szCs w:val="16"/>
              </w:rPr>
              <w:t>Informational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90083"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5A759BCC"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6CE6C4D6" w14:textId="77777777" w:rsidR="00F82EBC" w:rsidRPr="00113465" w:rsidRDefault="00F82EBC" w:rsidP="00113465">
            <w:pPr>
              <w:spacing w:after="0"/>
              <w:ind w:left="90" w:firstLine="0"/>
              <w:rPr>
                <w:sz w:val="16"/>
                <w:szCs w:val="16"/>
              </w:rPr>
            </w:pPr>
            <w:r w:rsidRPr="00113465">
              <w:rPr>
                <w:sz w:val="16"/>
                <w:szCs w:val="16"/>
              </w:rPr>
              <w:t>If different from the default United States storage location, specify the elected region or storage option.</w:t>
            </w:r>
          </w:p>
        </w:tc>
      </w:tr>
      <w:tr w:rsidR="00F82EBC" w14:paraId="665F152F" w14:textId="77777777" w:rsidTr="00113465">
        <w:tc>
          <w:tcPr>
            <w:tcW w:w="0" w:type="auto"/>
            <w:gridSpan w:val="5"/>
            <w:tcBorders>
              <w:top w:val="outset" w:sz="6" w:space="0" w:color="auto"/>
              <w:left w:val="outset" w:sz="6" w:space="0" w:color="auto"/>
              <w:bottom w:val="outset" w:sz="6" w:space="0" w:color="auto"/>
              <w:right w:val="outset" w:sz="6" w:space="0" w:color="auto"/>
            </w:tcBorders>
            <w:shd w:val="clear" w:color="auto" w:fill="D9EAF7"/>
            <w:vAlign w:val="center"/>
            <w:hideMark/>
          </w:tcPr>
          <w:p w14:paraId="459E563C" w14:textId="77777777" w:rsidR="00F82EBC" w:rsidRPr="00113465" w:rsidRDefault="00F82EBC" w:rsidP="00113465">
            <w:pPr>
              <w:spacing w:after="0"/>
              <w:ind w:left="90" w:firstLine="0"/>
              <w:rPr>
                <w:sz w:val="16"/>
                <w:szCs w:val="16"/>
              </w:rPr>
            </w:pPr>
            <w:r w:rsidRPr="00113465">
              <w:rPr>
                <w:b/>
                <w:bCs/>
                <w:sz w:val="16"/>
                <w:szCs w:val="16"/>
              </w:rPr>
              <w:t>Section B - Collectors and Deployment Infrastructure</w:t>
            </w:r>
          </w:p>
        </w:tc>
      </w:tr>
      <w:tr w:rsidR="00F82EBC" w14:paraId="2BE3143D"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68BCA0A9" w14:textId="77777777" w:rsidR="00F82EBC" w:rsidRDefault="00F82EBC" w:rsidP="00113465">
            <w:pPr>
              <w:spacing w:after="0"/>
              <w:ind w:left="90" w:firstLine="0"/>
            </w:pPr>
            <w:r>
              <w:t>Physical Collectors - Small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C6583" w14:textId="77777777" w:rsidR="00F82EBC" w:rsidRPr="00113465" w:rsidRDefault="00F82EBC" w:rsidP="00113465">
            <w:pPr>
              <w:spacing w:after="0"/>
              <w:ind w:left="90" w:firstLine="0"/>
              <w:rPr>
                <w:sz w:val="16"/>
                <w:szCs w:val="16"/>
              </w:rPr>
            </w:pPr>
            <w:r w:rsidRPr="00113465">
              <w:rPr>
                <w:sz w:val="16"/>
                <w:szCs w:val="16"/>
              </w:rPr>
              <w:t>Number of collectors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F1E92"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1BC48190"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5CAB1F78" w14:textId="77777777" w:rsidR="00F82EBC" w:rsidRPr="00113465" w:rsidRDefault="00F82EBC" w:rsidP="00113465">
            <w:pPr>
              <w:spacing w:after="0"/>
              <w:ind w:left="90" w:firstLine="0"/>
              <w:rPr>
                <w:sz w:val="16"/>
                <w:szCs w:val="16"/>
              </w:rPr>
            </w:pPr>
            <w:r w:rsidRPr="00113465">
              <w:rPr>
                <w:sz w:val="16"/>
                <w:szCs w:val="16"/>
              </w:rPr>
              <w:t>Specify expected number of small physical collectors, if applicable.</w:t>
            </w:r>
          </w:p>
        </w:tc>
      </w:tr>
      <w:tr w:rsidR="00F82EBC" w14:paraId="31FB9270"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418C333D" w14:textId="77777777" w:rsidR="00F82EBC" w:rsidRDefault="00F82EBC" w:rsidP="00113465">
            <w:pPr>
              <w:spacing w:after="0"/>
              <w:ind w:left="90" w:firstLine="0"/>
            </w:pPr>
            <w:r>
              <w:t>Physical Collectors - Medium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68526" w14:textId="77777777" w:rsidR="00F82EBC" w:rsidRPr="00113465" w:rsidRDefault="00F82EBC" w:rsidP="00113465">
            <w:pPr>
              <w:spacing w:after="0"/>
              <w:ind w:left="90" w:firstLine="0"/>
              <w:rPr>
                <w:sz w:val="16"/>
                <w:szCs w:val="16"/>
              </w:rPr>
            </w:pPr>
            <w:r w:rsidRPr="00113465">
              <w:rPr>
                <w:sz w:val="16"/>
                <w:szCs w:val="16"/>
              </w:rPr>
              <w:t>Number of collectors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EE26A"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0DC0CDA9"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389E7502" w14:textId="77777777" w:rsidR="00F82EBC" w:rsidRPr="00113465" w:rsidRDefault="00F82EBC" w:rsidP="00113465">
            <w:pPr>
              <w:spacing w:after="0"/>
              <w:ind w:left="90" w:firstLine="0"/>
              <w:rPr>
                <w:sz w:val="16"/>
                <w:szCs w:val="16"/>
              </w:rPr>
            </w:pPr>
            <w:r w:rsidRPr="00113465">
              <w:rPr>
                <w:sz w:val="16"/>
                <w:szCs w:val="16"/>
              </w:rPr>
              <w:t>Specify expected number of medium physical collectors, if applicable.</w:t>
            </w:r>
          </w:p>
        </w:tc>
      </w:tr>
      <w:tr w:rsidR="00F82EBC" w14:paraId="0B0589DA"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1B2D9BD2" w14:textId="77777777" w:rsidR="00F82EBC" w:rsidRDefault="00F82EBC" w:rsidP="00113465">
            <w:pPr>
              <w:spacing w:after="0"/>
              <w:ind w:left="90" w:firstLine="0"/>
            </w:pPr>
            <w:r>
              <w:t>Physical Collectors - Large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F858E" w14:textId="77777777" w:rsidR="00F82EBC" w:rsidRPr="00113465" w:rsidRDefault="00F82EBC" w:rsidP="00113465">
            <w:pPr>
              <w:spacing w:after="0"/>
              <w:ind w:left="90" w:firstLine="0"/>
              <w:rPr>
                <w:sz w:val="16"/>
                <w:szCs w:val="16"/>
              </w:rPr>
            </w:pPr>
            <w:r w:rsidRPr="00113465">
              <w:rPr>
                <w:sz w:val="16"/>
                <w:szCs w:val="16"/>
              </w:rPr>
              <w:t>Number of collectors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37041"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34A63505"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674CDEA0" w14:textId="77777777" w:rsidR="00F82EBC" w:rsidRPr="00113465" w:rsidRDefault="00F82EBC" w:rsidP="00113465">
            <w:pPr>
              <w:spacing w:after="0"/>
              <w:ind w:left="90" w:firstLine="0"/>
              <w:rPr>
                <w:sz w:val="16"/>
                <w:szCs w:val="16"/>
              </w:rPr>
            </w:pPr>
            <w:r w:rsidRPr="00113465">
              <w:rPr>
                <w:sz w:val="16"/>
                <w:szCs w:val="16"/>
              </w:rPr>
              <w:t>Specify expected number of large physical collectors, if applicable.</w:t>
            </w:r>
          </w:p>
        </w:tc>
      </w:tr>
      <w:tr w:rsidR="00F82EBC" w14:paraId="54431250"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6E862EFC" w14:textId="77777777" w:rsidR="00F82EBC" w:rsidRDefault="00F82EBC" w:rsidP="00113465">
            <w:pPr>
              <w:spacing w:after="0"/>
              <w:ind w:left="90" w:firstLine="0"/>
            </w:pPr>
            <w:r>
              <w:t>Virtual Collectors - Small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55BA1" w14:textId="77777777" w:rsidR="00F82EBC" w:rsidRPr="00113465" w:rsidRDefault="00F82EBC" w:rsidP="00113465">
            <w:pPr>
              <w:spacing w:after="0"/>
              <w:ind w:left="90" w:firstLine="0"/>
              <w:rPr>
                <w:sz w:val="16"/>
                <w:szCs w:val="16"/>
              </w:rPr>
            </w:pPr>
            <w:r w:rsidRPr="00113465">
              <w:rPr>
                <w:sz w:val="16"/>
                <w:szCs w:val="16"/>
              </w:rPr>
              <w:t>Number of collectors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9007D"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33747C73"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16D714BB" w14:textId="77777777" w:rsidR="00F82EBC" w:rsidRPr="00113465" w:rsidRDefault="00F82EBC" w:rsidP="00113465">
            <w:pPr>
              <w:spacing w:after="0"/>
              <w:ind w:left="90" w:firstLine="0"/>
              <w:rPr>
                <w:sz w:val="16"/>
                <w:szCs w:val="16"/>
              </w:rPr>
            </w:pPr>
            <w:r w:rsidRPr="00113465">
              <w:rPr>
                <w:sz w:val="16"/>
                <w:szCs w:val="16"/>
              </w:rPr>
              <w:t>Specify expected number of small virtual collectors, if applicable.</w:t>
            </w:r>
          </w:p>
        </w:tc>
      </w:tr>
      <w:tr w:rsidR="00F82EBC" w14:paraId="4B6D8298"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2C2272BC" w14:textId="77777777" w:rsidR="00F82EBC" w:rsidRDefault="00F82EBC" w:rsidP="00113465">
            <w:pPr>
              <w:spacing w:after="0"/>
              <w:ind w:left="90" w:firstLine="0"/>
            </w:pPr>
            <w:r>
              <w:t>Virtual Collectors - Medium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870CF" w14:textId="77777777" w:rsidR="00F82EBC" w:rsidRPr="00113465" w:rsidRDefault="00F82EBC" w:rsidP="00113465">
            <w:pPr>
              <w:spacing w:after="0"/>
              <w:ind w:left="90" w:firstLine="0"/>
              <w:rPr>
                <w:sz w:val="16"/>
                <w:szCs w:val="16"/>
              </w:rPr>
            </w:pPr>
            <w:r w:rsidRPr="00113465">
              <w:rPr>
                <w:sz w:val="16"/>
                <w:szCs w:val="16"/>
              </w:rPr>
              <w:t>Number of collectors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C9F39"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5285F"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5F4A961B" w14:textId="77777777" w:rsidR="00F82EBC" w:rsidRPr="00113465" w:rsidRDefault="00F82EBC" w:rsidP="00113465">
            <w:pPr>
              <w:spacing w:after="0"/>
              <w:ind w:left="90" w:firstLine="0"/>
              <w:rPr>
                <w:sz w:val="16"/>
                <w:szCs w:val="16"/>
              </w:rPr>
            </w:pPr>
            <w:r w:rsidRPr="00113465">
              <w:rPr>
                <w:sz w:val="16"/>
                <w:szCs w:val="16"/>
              </w:rPr>
              <w:t>Specify expected number of medium virtual collectors, if applicable.</w:t>
            </w:r>
          </w:p>
        </w:tc>
      </w:tr>
      <w:tr w:rsidR="00F82EBC" w14:paraId="0830AEB7"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4337D391" w14:textId="77777777" w:rsidR="00F82EBC" w:rsidRDefault="00F82EBC" w:rsidP="00113465">
            <w:pPr>
              <w:spacing w:after="0"/>
              <w:ind w:left="90" w:firstLine="0"/>
            </w:pPr>
            <w:r>
              <w:t>Virtual Collectors - Large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C2D0E" w14:textId="77777777" w:rsidR="00F82EBC" w:rsidRPr="00113465" w:rsidRDefault="00F82EBC" w:rsidP="00113465">
            <w:pPr>
              <w:spacing w:after="0"/>
              <w:ind w:left="90" w:firstLine="0"/>
              <w:rPr>
                <w:sz w:val="16"/>
                <w:szCs w:val="16"/>
              </w:rPr>
            </w:pPr>
            <w:r w:rsidRPr="00113465">
              <w:rPr>
                <w:sz w:val="16"/>
                <w:szCs w:val="16"/>
              </w:rPr>
              <w:t>Number of collectors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94197"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40F5E69E"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349D0E0C" w14:textId="77777777" w:rsidR="00F82EBC" w:rsidRPr="00113465" w:rsidRDefault="00F82EBC" w:rsidP="00113465">
            <w:pPr>
              <w:spacing w:after="0"/>
              <w:ind w:left="90" w:firstLine="0"/>
              <w:rPr>
                <w:sz w:val="16"/>
                <w:szCs w:val="16"/>
              </w:rPr>
            </w:pPr>
            <w:r w:rsidRPr="00113465">
              <w:rPr>
                <w:sz w:val="16"/>
                <w:szCs w:val="16"/>
              </w:rPr>
              <w:t>Specify expected number of large virtual collectors, if applicable.</w:t>
            </w:r>
          </w:p>
        </w:tc>
      </w:tr>
      <w:tr w:rsidR="00F82EBC" w14:paraId="7166BD6C"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4EAB597A" w14:textId="77777777" w:rsidR="00F82EBC" w:rsidRDefault="00F82EBC" w:rsidP="00113465">
            <w:pPr>
              <w:spacing w:after="0"/>
              <w:ind w:left="90" w:firstLine="0"/>
            </w:pPr>
            <w:r>
              <w:t>Public Cloud Collectors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4839A" w14:textId="77777777" w:rsidR="00F82EBC" w:rsidRPr="00113465" w:rsidRDefault="00F82EBC" w:rsidP="00113465">
            <w:pPr>
              <w:spacing w:after="0"/>
              <w:ind w:left="90" w:firstLine="0"/>
              <w:rPr>
                <w:sz w:val="16"/>
                <w:szCs w:val="16"/>
              </w:rPr>
            </w:pPr>
            <w:r w:rsidRPr="00113465">
              <w:rPr>
                <w:sz w:val="16"/>
                <w:szCs w:val="16"/>
              </w:rPr>
              <w:t>Number of collectors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95C19"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2A9F0AEB"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32729910" w14:textId="77777777" w:rsidR="00F82EBC" w:rsidRPr="00113465" w:rsidRDefault="00F82EBC" w:rsidP="00113465">
            <w:pPr>
              <w:spacing w:after="0"/>
              <w:ind w:left="90" w:firstLine="0"/>
              <w:rPr>
                <w:sz w:val="16"/>
                <w:szCs w:val="16"/>
              </w:rPr>
            </w:pPr>
            <w:r w:rsidRPr="00113465">
              <w:rPr>
                <w:sz w:val="16"/>
                <w:szCs w:val="16"/>
              </w:rPr>
              <w:t xml:space="preserve">Specify expected number of public cloud collectors and identify AWS, Azure, or </w:t>
            </w:r>
            <w:proofErr w:type="gramStart"/>
            <w:r w:rsidRPr="00113465">
              <w:rPr>
                <w:sz w:val="16"/>
                <w:szCs w:val="16"/>
              </w:rPr>
              <w:t>other</w:t>
            </w:r>
            <w:proofErr w:type="gramEnd"/>
            <w:r w:rsidRPr="00113465">
              <w:rPr>
                <w:sz w:val="16"/>
                <w:szCs w:val="16"/>
              </w:rPr>
              <w:t xml:space="preserve"> approved environment, if applicable.</w:t>
            </w:r>
          </w:p>
        </w:tc>
      </w:tr>
      <w:tr w:rsidR="00F82EBC" w14:paraId="4F4AAC8B"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0D7DC46F" w14:textId="77777777" w:rsidR="00F82EBC" w:rsidRDefault="00F82EBC" w:rsidP="00113465">
            <w:pPr>
              <w:spacing w:after="0"/>
              <w:ind w:left="90" w:firstLine="0"/>
            </w:pPr>
            <w:r>
              <w:t>Collector Sourcing Model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594E4" w14:textId="77777777" w:rsidR="00F82EBC" w:rsidRPr="00113465" w:rsidRDefault="00F82EBC" w:rsidP="00113465">
            <w:pPr>
              <w:spacing w:after="0"/>
              <w:ind w:left="90" w:firstLine="0"/>
              <w:rPr>
                <w:sz w:val="16"/>
                <w:szCs w:val="16"/>
              </w:rPr>
            </w:pPr>
            <w:r w:rsidRPr="00113465">
              <w:rPr>
                <w:sz w:val="16"/>
                <w:szCs w:val="16"/>
              </w:rPr>
              <w:t>Informational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DBC00"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1E724FA7"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672B1" w14:textId="77777777" w:rsidR="00F82EBC" w:rsidRPr="00113465" w:rsidRDefault="00F82EBC" w:rsidP="00113465">
            <w:pPr>
              <w:spacing w:after="0"/>
              <w:ind w:left="90" w:firstLine="0"/>
              <w:rPr>
                <w:sz w:val="16"/>
                <w:szCs w:val="16"/>
              </w:rPr>
            </w:pPr>
            <w:r w:rsidRPr="00113465">
              <w:rPr>
                <w:sz w:val="16"/>
                <w:szCs w:val="16"/>
              </w:rPr>
              <w:t>Identify whether hardware or virtual infrastructure is customer-provided, partner-provided, PacketWatch-provided where applicable, customer-managed, or otherwise designated in the Order.</w:t>
            </w:r>
          </w:p>
        </w:tc>
      </w:tr>
      <w:tr w:rsidR="00F82EBC" w14:paraId="7A0D88D3"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7ECA2BD5" w14:textId="77777777" w:rsidR="00F82EBC" w:rsidRDefault="00F82EBC" w:rsidP="00113465">
            <w:pPr>
              <w:spacing w:after="0"/>
              <w:ind w:left="90" w:firstLine="0"/>
            </w:pPr>
            <w:r>
              <w:t>Special Deployment Notes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07454" w14:textId="77777777" w:rsidR="00F82EBC" w:rsidRPr="00113465" w:rsidRDefault="00F82EBC" w:rsidP="00113465">
            <w:pPr>
              <w:spacing w:after="0"/>
              <w:ind w:left="90" w:firstLine="0"/>
              <w:rPr>
                <w:sz w:val="16"/>
                <w:szCs w:val="16"/>
              </w:rPr>
            </w:pPr>
            <w:r w:rsidRPr="00113465">
              <w:rPr>
                <w:sz w:val="16"/>
                <w:szCs w:val="16"/>
              </w:rPr>
              <w:t>Informational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B8E37"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700B8355"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04BA4C4B" w14:textId="77777777" w:rsidR="00F82EBC" w:rsidRPr="00113465" w:rsidRDefault="00F82EBC" w:rsidP="00113465">
            <w:pPr>
              <w:spacing w:after="0"/>
              <w:ind w:left="90" w:firstLine="0"/>
              <w:rPr>
                <w:sz w:val="16"/>
                <w:szCs w:val="16"/>
              </w:rPr>
            </w:pPr>
            <w:r w:rsidRPr="00113465">
              <w:rPr>
                <w:sz w:val="16"/>
                <w:szCs w:val="16"/>
              </w:rPr>
              <w:t>Capture any deployment-specific assumptions, environment constraints, special security requirements, or references to technical addenda.</w:t>
            </w:r>
          </w:p>
        </w:tc>
      </w:tr>
      <w:tr w:rsidR="00F82EBC" w14:paraId="60161CD0" w14:textId="77777777" w:rsidTr="00113465">
        <w:tc>
          <w:tcPr>
            <w:tcW w:w="0" w:type="auto"/>
            <w:gridSpan w:val="5"/>
            <w:tcBorders>
              <w:top w:val="outset" w:sz="6" w:space="0" w:color="auto"/>
              <w:left w:val="outset" w:sz="6" w:space="0" w:color="auto"/>
              <w:bottom w:val="outset" w:sz="6" w:space="0" w:color="auto"/>
              <w:right w:val="outset" w:sz="6" w:space="0" w:color="auto"/>
            </w:tcBorders>
            <w:shd w:val="clear" w:color="auto" w:fill="D9EAF7"/>
            <w:vAlign w:val="center"/>
            <w:hideMark/>
          </w:tcPr>
          <w:p w14:paraId="7446ED9A" w14:textId="77777777" w:rsidR="00F82EBC" w:rsidRPr="00113465" w:rsidRDefault="00F82EBC" w:rsidP="00113465">
            <w:pPr>
              <w:spacing w:after="0"/>
              <w:ind w:left="90" w:firstLine="0"/>
              <w:rPr>
                <w:sz w:val="16"/>
                <w:szCs w:val="16"/>
              </w:rPr>
            </w:pPr>
            <w:r w:rsidRPr="00113465">
              <w:rPr>
                <w:b/>
                <w:bCs/>
                <w:sz w:val="16"/>
                <w:szCs w:val="16"/>
              </w:rPr>
              <w:t>Section C - Third-Party Security Products</w:t>
            </w:r>
          </w:p>
        </w:tc>
      </w:tr>
      <w:tr w:rsidR="00F82EBC" w14:paraId="4824F231"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4B5C38BE" w14:textId="77777777" w:rsidR="00F82EBC" w:rsidRDefault="00F82EBC" w:rsidP="00113465">
            <w:pPr>
              <w:spacing w:after="0"/>
              <w:ind w:left="90" w:firstLine="0"/>
            </w:pPr>
            <w:r>
              <w:t>CrowdStrike or Other Supported EDR Licenses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9C16B" w14:textId="77777777" w:rsidR="00F82EBC" w:rsidRPr="00113465" w:rsidRDefault="00F82EBC" w:rsidP="00113465">
            <w:pPr>
              <w:spacing w:after="0"/>
              <w:ind w:left="90" w:firstLine="0"/>
              <w:rPr>
                <w:sz w:val="16"/>
                <w:szCs w:val="16"/>
              </w:rPr>
            </w:pPr>
            <w:r w:rsidRPr="00113465">
              <w:rPr>
                <w:sz w:val="16"/>
                <w:szCs w:val="16"/>
              </w:rPr>
              <w:t>Number of endpoint licenses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DEB08"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24AE5E7C"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506B86F3" w14:textId="77777777" w:rsidR="00F82EBC" w:rsidRPr="00113465" w:rsidRDefault="00F82EBC" w:rsidP="00113465">
            <w:pPr>
              <w:spacing w:after="0"/>
              <w:ind w:left="90" w:firstLine="0"/>
              <w:rPr>
                <w:sz w:val="16"/>
                <w:szCs w:val="16"/>
              </w:rPr>
            </w:pPr>
            <w:r w:rsidRPr="00113465">
              <w:rPr>
                <w:sz w:val="16"/>
                <w:szCs w:val="16"/>
              </w:rPr>
              <w:t>Specify product, term, and total licensed endpoints for any supported EDR product licensed through PacketWatch.</w:t>
            </w:r>
          </w:p>
        </w:tc>
      </w:tr>
      <w:tr w:rsidR="00F82EBC" w14:paraId="6A3F3651" w14:textId="77777777" w:rsidTr="00113465">
        <w:tc>
          <w:tcPr>
            <w:tcW w:w="0" w:type="auto"/>
            <w:gridSpan w:val="5"/>
            <w:tcBorders>
              <w:top w:val="outset" w:sz="6" w:space="0" w:color="auto"/>
              <w:left w:val="outset" w:sz="6" w:space="0" w:color="auto"/>
              <w:bottom w:val="outset" w:sz="6" w:space="0" w:color="auto"/>
              <w:right w:val="outset" w:sz="6" w:space="0" w:color="auto"/>
            </w:tcBorders>
            <w:shd w:val="clear" w:color="auto" w:fill="D9EAF7"/>
            <w:vAlign w:val="center"/>
            <w:hideMark/>
          </w:tcPr>
          <w:p w14:paraId="4C6C1A71" w14:textId="77777777" w:rsidR="00F82EBC" w:rsidRPr="00113465" w:rsidRDefault="00F82EBC" w:rsidP="00113465">
            <w:pPr>
              <w:spacing w:after="0"/>
              <w:ind w:left="90" w:firstLine="0"/>
              <w:rPr>
                <w:sz w:val="16"/>
                <w:szCs w:val="16"/>
              </w:rPr>
            </w:pPr>
            <w:r w:rsidRPr="00113465">
              <w:rPr>
                <w:b/>
                <w:bCs/>
                <w:sz w:val="16"/>
                <w:szCs w:val="16"/>
              </w:rPr>
              <w:t>Section D - Professional Services</w:t>
            </w:r>
          </w:p>
        </w:tc>
      </w:tr>
      <w:tr w:rsidR="00F82EBC" w14:paraId="605B3F16"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1613B664" w14:textId="77777777" w:rsidR="00F82EBC" w:rsidRDefault="00F82EBC" w:rsidP="00113465">
            <w:pPr>
              <w:spacing w:after="0"/>
              <w:ind w:left="90" w:firstLine="0"/>
            </w:pPr>
            <w:r>
              <w:t>PacketWatch Professional Services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8E290" w14:textId="77777777" w:rsidR="00F82EBC" w:rsidRPr="00113465" w:rsidRDefault="00F82EBC" w:rsidP="00113465">
            <w:pPr>
              <w:spacing w:after="0"/>
              <w:ind w:left="90" w:firstLine="0"/>
              <w:rPr>
                <w:sz w:val="16"/>
                <w:szCs w:val="16"/>
              </w:rPr>
            </w:pPr>
            <w:r w:rsidRPr="00113465">
              <w:rPr>
                <w:sz w:val="16"/>
                <w:szCs w:val="16"/>
              </w:rPr>
              <w:t>1 service package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865AF"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1CD54"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EF8CA" w14:textId="77777777" w:rsidR="00F82EBC" w:rsidRPr="00113465" w:rsidRDefault="00F82EBC" w:rsidP="00113465">
            <w:pPr>
              <w:spacing w:after="0"/>
              <w:ind w:left="90" w:firstLine="0"/>
              <w:rPr>
                <w:sz w:val="16"/>
                <w:szCs w:val="16"/>
              </w:rPr>
            </w:pPr>
            <w:r w:rsidRPr="00113465">
              <w:rPr>
                <w:sz w:val="16"/>
                <w:szCs w:val="16"/>
              </w:rPr>
              <w:t>Identify the applicable professional services package or service description.</w:t>
            </w:r>
          </w:p>
        </w:tc>
      </w:tr>
      <w:tr w:rsidR="00F82EBC" w14:paraId="49B98D08" w14:textId="77777777" w:rsidTr="00243B9A">
        <w:tc>
          <w:tcPr>
            <w:tcW w:w="0" w:type="auto"/>
            <w:tcBorders>
              <w:top w:val="outset" w:sz="6" w:space="0" w:color="auto"/>
              <w:left w:val="outset" w:sz="6" w:space="0" w:color="auto"/>
              <w:bottom w:val="outset" w:sz="6" w:space="0" w:color="auto"/>
              <w:right w:val="outset" w:sz="6" w:space="0" w:color="auto"/>
            </w:tcBorders>
            <w:vAlign w:val="center"/>
            <w:hideMark/>
          </w:tcPr>
          <w:p w14:paraId="279029CD" w14:textId="77777777" w:rsidR="00F82EBC" w:rsidRDefault="00F82EBC" w:rsidP="00113465">
            <w:pPr>
              <w:spacing w:after="0"/>
              <w:ind w:left="90" w:firstLine="0"/>
            </w:pPr>
            <w:r>
              <w:t>Threat Hunting Cadence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06C25" w14:textId="77777777" w:rsidR="00F82EBC" w:rsidRPr="00113465" w:rsidRDefault="00F82EBC" w:rsidP="00113465">
            <w:pPr>
              <w:spacing w:after="0"/>
              <w:ind w:left="90" w:firstLine="0"/>
              <w:rPr>
                <w:sz w:val="16"/>
                <w:szCs w:val="16"/>
              </w:rPr>
            </w:pPr>
            <w:r w:rsidRPr="00113465">
              <w:rPr>
                <w:sz w:val="16"/>
                <w:szCs w:val="16"/>
              </w:rPr>
              <w:t>Informational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1BD02"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119CA8FB" w14:textId="77777777" w:rsidR="00F82EBC" w:rsidRDefault="00F82EBC" w:rsidP="00113465">
            <w:pPr>
              <w:ind w:left="90"/>
            </w:pPr>
          </w:p>
        </w:tc>
        <w:tc>
          <w:tcPr>
            <w:tcW w:w="0" w:type="auto"/>
            <w:tcMar>
              <w:top w:w="80" w:type="dxa"/>
              <w:left w:w="80" w:type="dxa"/>
              <w:bottom w:w="80" w:type="dxa"/>
              <w:right w:w="80" w:type="dxa"/>
            </w:tcMar>
            <w:vAlign w:val="center"/>
            <w:hideMark/>
          </w:tcPr>
          <w:p w14:paraId="420B61F3" w14:textId="0543A5ED" w:rsidR="00F82EBC" w:rsidRPr="00113465" w:rsidRDefault="00243B9A" w:rsidP="00243B9A">
            <w:pPr>
              <w:spacing w:after="0"/>
              <w:ind w:left="90" w:firstLine="0"/>
              <w:rPr>
                <w:sz w:val="16"/>
                <w:szCs w:val="16"/>
              </w:rPr>
            </w:pPr>
            <w:r>
              <w:rPr>
                <w:sz w:val="16"/>
                <w:szCs w:val="16"/>
              </w:rPr>
              <w:t xml:space="preserve">Specify the cadence defined for the Order (for example, daily, multiple times weekly, weekly, or </w:t>
            </w:r>
            <w:proofErr w:type="gramStart"/>
            <w:r>
              <w:rPr>
                <w:sz w:val="16"/>
                <w:szCs w:val="16"/>
              </w:rPr>
              <w:t>other</w:t>
            </w:r>
            <w:proofErr w:type="gramEnd"/>
            <w:r>
              <w:rPr>
                <w:sz w:val="16"/>
                <w:szCs w:val="16"/>
              </w:rPr>
              <w:t xml:space="preserve"> periodic cadence). If not otherwise specified, PacketWatch will perform threat hunting on a periodic basis consistent with the purchased Services.</w:t>
            </w:r>
          </w:p>
        </w:tc>
      </w:tr>
      <w:tr w:rsidR="00F82EBC" w14:paraId="06525CBD"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6E643901" w14:textId="77777777" w:rsidR="00F82EBC" w:rsidRDefault="00F82EBC" w:rsidP="00113465">
            <w:pPr>
              <w:spacing w:after="0"/>
              <w:ind w:left="90" w:firstLine="0"/>
            </w:pPr>
            <w:r>
              <w:t>Remote Investigation / Remediation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BD80C" w14:textId="77777777" w:rsidR="00F82EBC" w:rsidRPr="00113465" w:rsidRDefault="00F82EBC" w:rsidP="00113465">
            <w:pPr>
              <w:spacing w:after="0"/>
              <w:ind w:left="90" w:firstLine="0"/>
              <w:rPr>
                <w:sz w:val="16"/>
                <w:szCs w:val="16"/>
              </w:rPr>
            </w:pPr>
            <w:r w:rsidRPr="00113465">
              <w:rPr>
                <w:sz w:val="16"/>
                <w:szCs w:val="16"/>
              </w:rPr>
              <w:t>Hours per month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C016E"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145F8DDD"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30D213E7" w14:textId="77777777" w:rsidR="00F82EBC" w:rsidRPr="00113465" w:rsidRDefault="00F82EBC" w:rsidP="00113465">
            <w:pPr>
              <w:spacing w:after="0"/>
              <w:ind w:left="90" w:firstLine="0"/>
              <w:rPr>
                <w:sz w:val="16"/>
                <w:szCs w:val="16"/>
              </w:rPr>
            </w:pPr>
            <w:r w:rsidRPr="00113465">
              <w:rPr>
                <w:sz w:val="16"/>
                <w:szCs w:val="16"/>
              </w:rPr>
              <w:t>If included, specify the monthly quantity of remote investigation / remediation hours.</w:t>
            </w:r>
          </w:p>
        </w:tc>
      </w:tr>
      <w:tr w:rsidR="00F82EBC" w14:paraId="7CBC0EE8"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20BC6DA4" w14:textId="77777777" w:rsidR="00F82EBC" w:rsidRDefault="00F82EBC" w:rsidP="00113465">
            <w:pPr>
              <w:spacing w:after="0"/>
              <w:ind w:left="90" w:firstLine="0"/>
            </w:pPr>
            <w:r>
              <w:t>Onboarding Security Framework Assessment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70225" w14:textId="77777777" w:rsidR="00F82EBC" w:rsidRPr="00113465" w:rsidRDefault="00F82EBC" w:rsidP="00113465">
            <w:pPr>
              <w:spacing w:after="0"/>
              <w:ind w:left="90" w:firstLine="0"/>
              <w:rPr>
                <w:sz w:val="16"/>
                <w:szCs w:val="16"/>
              </w:rPr>
            </w:pPr>
            <w:r w:rsidRPr="00113465">
              <w:rPr>
                <w:sz w:val="16"/>
                <w:szCs w:val="16"/>
              </w:rPr>
              <w:t>0 or 1 assessment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A2FEB"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23FD0232"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3C49F801" w14:textId="77777777" w:rsidR="00F82EBC" w:rsidRPr="00113465" w:rsidRDefault="00F82EBC" w:rsidP="00113465">
            <w:pPr>
              <w:spacing w:after="0"/>
              <w:ind w:left="90" w:firstLine="0"/>
              <w:rPr>
                <w:sz w:val="16"/>
                <w:szCs w:val="16"/>
              </w:rPr>
            </w:pPr>
            <w:r w:rsidRPr="00113465">
              <w:rPr>
                <w:sz w:val="16"/>
                <w:szCs w:val="16"/>
              </w:rPr>
              <w:t>State whether the onboarding assessment is included and, if applicable, whether it will use CIS Controls or NIST CSF.</w:t>
            </w:r>
          </w:p>
        </w:tc>
      </w:tr>
      <w:tr w:rsidR="00F82EBC" w14:paraId="4C12A742" w14:textId="77777777" w:rsidTr="00113465">
        <w:tc>
          <w:tcPr>
            <w:tcW w:w="0" w:type="auto"/>
            <w:gridSpan w:val="5"/>
            <w:tcBorders>
              <w:top w:val="outset" w:sz="6" w:space="0" w:color="auto"/>
              <w:left w:val="outset" w:sz="6" w:space="0" w:color="auto"/>
              <w:bottom w:val="outset" w:sz="6" w:space="0" w:color="auto"/>
              <w:right w:val="outset" w:sz="6" w:space="0" w:color="auto"/>
            </w:tcBorders>
            <w:shd w:val="clear" w:color="auto" w:fill="D9EAF7"/>
            <w:vAlign w:val="center"/>
            <w:hideMark/>
          </w:tcPr>
          <w:p w14:paraId="5594E499" w14:textId="77777777" w:rsidR="00F82EBC" w:rsidRPr="00113465" w:rsidRDefault="00F82EBC" w:rsidP="00113465">
            <w:pPr>
              <w:spacing w:after="0"/>
              <w:ind w:left="90" w:firstLine="0"/>
              <w:rPr>
                <w:sz w:val="16"/>
                <w:szCs w:val="16"/>
              </w:rPr>
            </w:pPr>
            <w:r w:rsidRPr="00113465">
              <w:rPr>
                <w:b/>
                <w:bCs/>
                <w:sz w:val="16"/>
                <w:szCs w:val="16"/>
              </w:rPr>
              <w:t>Section E - Incident Response and Warranty Items</w:t>
            </w:r>
          </w:p>
        </w:tc>
      </w:tr>
      <w:tr w:rsidR="00F82EBC" w14:paraId="4E0120BD"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02A77B7A" w14:textId="77777777" w:rsidR="00F82EBC" w:rsidRDefault="00F82EBC" w:rsidP="00113465">
            <w:pPr>
              <w:spacing w:after="0"/>
              <w:ind w:left="90" w:firstLine="0"/>
            </w:pPr>
            <w:r>
              <w:t>Incident Response Limited-Service Warranty Eligibility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8AB65" w14:textId="77777777" w:rsidR="00F82EBC" w:rsidRPr="00113465" w:rsidRDefault="00F82EBC" w:rsidP="00113465">
            <w:pPr>
              <w:spacing w:after="0"/>
              <w:ind w:left="90" w:firstLine="0"/>
              <w:rPr>
                <w:sz w:val="16"/>
                <w:szCs w:val="16"/>
              </w:rPr>
            </w:pPr>
            <w:r w:rsidRPr="00113465">
              <w:rPr>
                <w:sz w:val="16"/>
                <w:szCs w:val="16"/>
              </w:rPr>
              <w:t>0 or 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424C1"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12D2A91A"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36AE0BA2" w14:textId="77777777" w:rsidR="00F82EBC" w:rsidRPr="00113465" w:rsidRDefault="00F82EBC" w:rsidP="00113465">
            <w:pPr>
              <w:spacing w:after="0"/>
              <w:ind w:left="90" w:firstLine="0"/>
              <w:rPr>
                <w:sz w:val="16"/>
                <w:szCs w:val="16"/>
              </w:rPr>
            </w:pPr>
            <w:r w:rsidRPr="00113465">
              <w:rPr>
                <w:sz w:val="16"/>
                <w:szCs w:val="16"/>
              </w:rPr>
              <w:t>If applicable, indicate whether the Client qualifies for the PacketWatch Professional Services Limited-Service Warranty and any applicable tier.</w:t>
            </w:r>
          </w:p>
        </w:tc>
      </w:tr>
      <w:tr w:rsidR="00F82EBC" w14:paraId="71C672B1"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1C51D92A" w14:textId="77777777" w:rsidR="00F82EBC" w:rsidRDefault="00F82EBC" w:rsidP="00113465">
            <w:pPr>
              <w:spacing w:after="0"/>
              <w:ind w:left="90" w:firstLine="0"/>
            </w:pPr>
            <w:r>
              <w:t>Limited-Service Warranty Tier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4E652" w14:textId="77777777" w:rsidR="00F82EBC" w:rsidRPr="00113465" w:rsidRDefault="00F82EBC" w:rsidP="00113465">
            <w:pPr>
              <w:spacing w:after="0"/>
              <w:ind w:left="90" w:firstLine="0"/>
              <w:rPr>
                <w:sz w:val="16"/>
                <w:szCs w:val="16"/>
              </w:rPr>
            </w:pPr>
            <w:r w:rsidRPr="00113465">
              <w:rPr>
                <w:sz w:val="16"/>
                <w:szCs w:val="16"/>
              </w:rPr>
              <w:t>Tier 1 or 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484E5"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066B2C5F"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5891F08F" w14:textId="77777777" w:rsidR="00F82EBC" w:rsidRPr="00113465" w:rsidRDefault="00F82EBC" w:rsidP="00113465">
            <w:pPr>
              <w:spacing w:after="0"/>
              <w:ind w:left="90" w:firstLine="0"/>
              <w:rPr>
                <w:sz w:val="16"/>
                <w:szCs w:val="16"/>
              </w:rPr>
            </w:pPr>
            <w:r w:rsidRPr="00113465">
              <w:rPr>
                <w:sz w:val="16"/>
                <w:szCs w:val="16"/>
              </w:rPr>
              <w:t>Determines the number of hours eligible for the PacketWatch Professional Services Limited-Service Warranty.</w:t>
            </w:r>
          </w:p>
        </w:tc>
      </w:tr>
      <w:tr w:rsidR="00F82EBC" w14:paraId="0BFAB058"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652ADAD9" w14:textId="77777777" w:rsidR="00F82EBC" w:rsidRDefault="00F82EBC" w:rsidP="00113465">
            <w:pPr>
              <w:spacing w:after="0"/>
              <w:ind w:left="90" w:firstLine="0"/>
            </w:pPr>
            <w:r>
              <w:t>Additional Incident Response Services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A9BE9" w14:textId="77777777" w:rsidR="00F82EBC" w:rsidRPr="00113465" w:rsidRDefault="00F82EBC" w:rsidP="00113465">
            <w:pPr>
              <w:spacing w:after="0"/>
              <w:ind w:left="90" w:firstLine="0"/>
              <w:rPr>
                <w:sz w:val="16"/>
                <w:szCs w:val="16"/>
              </w:rPr>
            </w:pPr>
            <w:r w:rsidRPr="00113465">
              <w:rPr>
                <w:sz w:val="16"/>
                <w:szCs w:val="16"/>
              </w:rPr>
              <w:t>Hours or separate SOW</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C14C1"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69152B85"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vAlign w:val="center"/>
            <w:hideMark/>
          </w:tcPr>
          <w:p w14:paraId="6C336D72" w14:textId="77777777" w:rsidR="00F82EBC" w:rsidRPr="00113465" w:rsidRDefault="00F82EBC" w:rsidP="00113465">
            <w:pPr>
              <w:spacing w:after="0"/>
              <w:ind w:left="90" w:firstLine="0"/>
              <w:rPr>
                <w:sz w:val="16"/>
                <w:szCs w:val="16"/>
              </w:rPr>
            </w:pPr>
            <w:r w:rsidRPr="00113465">
              <w:rPr>
                <w:sz w:val="16"/>
                <w:szCs w:val="16"/>
              </w:rPr>
              <w:t>Use if separate incident response hours, retainers, or other IR services are purchased outside the limited-service warranty.</w:t>
            </w:r>
          </w:p>
        </w:tc>
      </w:tr>
      <w:tr w:rsidR="00F82EBC" w14:paraId="4F71C92D" w14:textId="77777777" w:rsidTr="00113465">
        <w:tc>
          <w:tcPr>
            <w:tcW w:w="0" w:type="auto"/>
            <w:gridSpan w:val="3"/>
            <w:tcBorders>
              <w:top w:val="outset" w:sz="6" w:space="0" w:color="auto"/>
              <w:left w:val="outset" w:sz="6" w:space="0" w:color="auto"/>
              <w:bottom w:val="outset" w:sz="6" w:space="0" w:color="auto"/>
              <w:right w:val="outset" w:sz="6" w:space="0" w:color="auto"/>
            </w:tcBorders>
            <w:shd w:val="clear" w:color="auto" w:fill="F2F2F2"/>
            <w:vAlign w:val="center"/>
            <w:hideMark/>
          </w:tcPr>
          <w:p w14:paraId="2B4BD219" w14:textId="77777777" w:rsidR="00F82EBC" w:rsidRDefault="00F82EBC" w:rsidP="00113465">
            <w:pPr>
              <w:spacing w:after="0"/>
              <w:ind w:left="90" w:firstLine="0"/>
              <w:jc w:val="right"/>
            </w:pPr>
            <w:r>
              <w:rPr>
                <w:b/>
                <w:bCs/>
              </w:rPr>
              <w:t>Subtotal</w:t>
            </w: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14:paraId="16C7D06B"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14:paraId="0A93495A" w14:textId="77777777" w:rsidR="00F82EBC" w:rsidRDefault="00F82EBC" w:rsidP="00113465">
            <w:pPr>
              <w:ind w:left="90"/>
            </w:pPr>
          </w:p>
        </w:tc>
      </w:tr>
      <w:tr w:rsidR="00F82EBC" w14:paraId="014E8B25" w14:textId="77777777" w:rsidTr="00113465">
        <w:tc>
          <w:tcPr>
            <w:tcW w:w="0" w:type="auto"/>
            <w:gridSpan w:val="3"/>
            <w:tcBorders>
              <w:top w:val="outset" w:sz="6" w:space="0" w:color="auto"/>
              <w:left w:val="outset" w:sz="6" w:space="0" w:color="auto"/>
              <w:bottom w:val="outset" w:sz="6" w:space="0" w:color="auto"/>
              <w:right w:val="outset" w:sz="6" w:space="0" w:color="auto"/>
            </w:tcBorders>
            <w:shd w:val="clear" w:color="auto" w:fill="F2F2F2"/>
            <w:vAlign w:val="center"/>
            <w:hideMark/>
          </w:tcPr>
          <w:p w14:paraId="5B3FA820" w14:textId="77777777" w:rsidR="00F82EBC" w:rsidRDefault="00F82EBC" w:rsidP="00113465">
            <w:pPr>
              <w:spacing w:after="0"/>
              <w:ind w:left="90" w:firstLine="0"/>
              <w:jc w:val="right"/>
            </w:pPr>
            <w:r>
              <w:rPr>
                <w:b/>
                <w:bCs/>
              </w:rPr>
              <w:t>Taxes (if applicable)</w:t>
            </w: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14:paraId="3421B93B"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14:paraId="0CCBCB9A" w14:textId="77777777" w:rsidR="00F82EBC" w:rsidRDefault="00F82EBC" w:rsidP="00113465">
            <w:pPr>
              <w:ind w:left="90"/>
            </w:pPr>
          </w:p>
        </w:tc>
      </w:tr>
      <w:tr w:rsidR="00F82EBC" w14:paraId="10524D55" w14:textId="77777777" w:rsidTr="00113465">
        <w:tc>
          <w:tcPr>
            <w:tcW w:w="0" w:type="auto"/>
            <w:gridSpan w:val="3"/>
            <w:tcBorders>
              <w:top w:val="outset" w:sz="6" w:space="0" w:color="auto"/>
              <w:left w:val="outset" w:sz="6" w:space="0" w:color="auto"/>
              <w:bottom w:val="outset" w:sz="6" w:space="0" w:color="auto"/>
              <w:right w:val="outset" w:sz="6" w:space="0" w:color="auto"/>
            </w:tcBorders>
            <w:shd w:val="clear" w:color="auto" w:fill="D9EAF7"/>
            <w:vAlign w:val="center"/>
            <w:hideMark/>
          </w:tcPr>
          <w:p w14:paraId="3D3CC6C2" w14:textId="77777777" w:rsidR="00F82EBC" w:rsidRDefault="00F82EBC" w:rsidP="00113465">
            <w:pPr>
              <w:spacing w:after="0"/>
              <w:ind w:left="90" w:firstLine="0"/>
              <w:jc w:val="right"/>
            </w:pPr>
            <w:r>
              <w:rPr>
                <w:b/>
                <w:bCs/>
              </w:rPr>
              <w:t>Total</w:t>
            </w:r>
          </w:p>
        </w:tc>
        <w:tc>
          <w:tcPr>
            <w:tcW w:w="0" w:type="auto"/>
            <w:tcBorders>
              <w:top w:val="outset" w:sz="6" w:space="0" w:color="auto"/>
              <w:left w:val="outset" w:sz="6" w:space="0" w:color="auto"/>
              <w:bottom w:val="outset" w:sz="6" w:space="0" w:color="auto"/>
              <w:right w:val="outset" w:sz="6" w:space="0" w:color="auto"/>
            </w:tcBorders>
            <w:shd w:val="clear" w:color="auto" w:fill="D9EAF7"/>
            <w:vAlign w:val="center"/>
            <w:hideMark/>
          </w:tcPr>
          <w:p w14:paraId="5FA1E2C8" w14:textId="77777777" w:rsidR="00F82EBC" w:rsidRDefault="00F82EBC" w:rsidP="00113465">
            <w:pPr>
              <w:ind w:left="90"/>
            </w:pPr>
          </w:p>
        </w:tc>
        <w:tc>
          <w:tcPr>
            <w:tcW w:w="0" w:type="auto"/>
            <w:tcBorders>
              <w:top w:val="outset" w:sz="6" w:space="0" w:color="auto"/>
              <w:left w:val="outset" w:sz="6" w:space="0" w:color="auto"/>
              <w:bottom w:val="outset" w:sz="6" w:space="0" w:color="auto"/>
              <w:right w:val="outset" w:sz="6" w:space="0" w:color="auto"/>
            </w:tcBorders>
            <w:shd w:val="clear" w:color="auto" w:fill="D9EAF7"/>
            <w:vAlign w:val="center"/>
            <w:hideMark/>
          </w:tcPr>
          <w:p w14:paraId="608603F2" w14:textId="77777777" w:rsidR="00F82EBC" w:rsidRDefault="00F82EBC" w:rsidP="00113465">
            <w:pPr>
              <w:ind w:left="90"/>
            </w:pPr>
          </w:p>
        </w:tc>
      </w:tr>
    </w:tbl>
    <w:p w14:paraId="54BF94FD" w14:textId="21A2D709" w:rsidR="00346779" w:rsidRDefault="00F82EBC" w:rsidP="00113465">
      <w:pPr>
        <w:ind w:left="90"/>
      </w:pPr>
      <w:r>
        <w:t>Order-specific notes may be used to identify implementation assumptions, deployment constraints, applicable schedules, regional storage elections, collector sourcing details, or other transaction-specific terms relevant to the applicable subscription and services.</w:t>
      </w:r>
    </w:p>
    <w:p w14:paraId="1D9614A6" w14:textId="77777777" w:rsidR="00F82EBC" w:rsidRDefault="00346779" w:rsidP="00113465">
      <w:pPr>
        <w:ind w:left="90"/>
        <w:rPr>
          <w:kern w:val="0"/>
          <w:szCs w:val="20"/>
          <w14:ligatures w14:val="none"/>
        </w:rPr>
      </w:pPr>
      <w:r>
        <w:br w:type="column"/>
      </w:r>
    </w:p>
    <w:p w14:paraId="604A83C8" w14:textId="77777777" w:rsidR="00F04182" w:rsidRDefault="00F04182" w:rsidP="00113465">
      <w:pPr>
        <w:pStyle w:val="Heading1"/>
        <w:ind w:left="90"/>
        <w:rPr>
          <w:kern w:val="36"/>
          <w:szCs w:val="28"/>
          <w14:ligatures w14:val="none"/>
        </w:rPr>
      </w:pPr>
      <w:bookmarkStart w:id="86" w:name="_Toc232428875"/>
      <w:bookmarkStart w:id="87" w:name="_Toc232497746"/>
      <w:r>
        <w:t xml:space="preserve">Exhibit D - </w:t>
      </w:r>
      <w:proofErr w:type="spellStart"/>
      <w:r>
        <w:t>WireSight</w:t>
      </w:r>
      <w:proofErr w:type="spellEnd"/>
      <w:r>
        <w:t xml:space="preserve"> Platform Description</w:t>
      </w:r>
      <w:bookmarkEnd w:id="86"/>
      <w:bookmarkEnd w:id="87"/>
    </w:p>
    <w:p w14:paraId="76AD8E92" w14:textId="77777777" w:rsidR="00F04182" w:rsidRDefault="00F04182" w:rsidP="00113465">
      <w:pPr>
        <w:ind w:left="90"/>
        <w:rPr>
          <w:kern w:val="0"/>
          <w:szCs w:val="20"/>
          <w14:ligatures w14:val="none"/>
        </w:rPr>
      </w:pPr>
      <w:r>
        <w:t>This Exhibit D (the "</w:t>
      </w:r>
      <w:proofErr w:type="spellStart"/>
      <w:r>
        <w:t>WireSight</w:t>
      </w:r>
      <w:proofErr w:type="spellEnd"/>
      <w:r>
        <w:t xml:space="preserve"> Platform Description") describes the licensed </w:t>
      </w:r>
      <w:proofErr w:type="spellStart"/>
      <w:r>
        <w:t>WireSight</w:t>
      </w:r>
      <w:proofErr w:type="spellEnd"/>
      <w:r>
        <w:t xml:space="preserve"> platform, including its principal capabilities, </w:t>
      </w:r>
      <w:proofErr w:type="gramStart"/>
      <w:r>
        <w:t>included</w:t>
      </w:r>
      <w:proofErr w:type="gramEnd"/>
      <w:r>
        <w:t xml:space="preserve"> platform access, deployment expectations, storage model, and related assumptions and limitations. This Exhibit D is intended to be used together with the applicable Order and the governing agreement between Client and PacketWatch. This Exhibit D addresses the </w:t>
      </w:r>
      <w:proofErr w:type="spellStart"/>
      <w:r>
        <w:t>WireSight</w:t>
      </w:r>
      <w:proofErr w:type="spellEnd"/>
      <w:r>
        <w:t xml:space="preserve"> platform itself and is separate from the Professional Services Service Description, which addresses analyst-delivered services, service cadence, and related customer responsibilities.</w:t>
      </w:r>
    </w:p>
    <w:p w14:paraId="3AF23C76" w14:textId="77777777" w:rsidR="00F04182" w:rsidRDefault="00F04182" w:rsidP="00113465">
      <w:pPr>
        <w:pStyle w:val="Heading2"/>
        <w:ind w:left="90"/>
        <w:rPr>
          <w:kern w:val="0"/>
          <w14:ligatures w14:val="none"/>
        </w:rPr>
      </w:pPr>
      <w:bookmarkStart w:id="88" w:name="_Toc232428876"/>
      <w:bookmarkStart w:id="89" w:name="_Toc232497747"/>
      <w:r>
        <w:t>1. Platform Overview</w:t>
      </w:r>
      <w:bookmarkEnd w:id="88"/>
      <w:bookmarkEnd w:id="89"/>
    </w:p>
    <w:p w14:paraId="6A578A1C" w14:textId="77777777" w:rsidR="00F04182" w:rsidRDefault="00F04182" w:rsidP="00113465">
      <w:pPr>
        <w:ind w:left="90"/>
        <w:rPr>
          <w:kern w:val="0"/>
          <w:szCs w:val="20"/>
          <w14:ligatures w14:val="none"/>
        </w:rPr>
      </w:pPr>
      <w:proofErr w:type="spellStart"/>
      <w:r>
        <w:t>WireSight</w:t>
      </w:r>
      <w:proofErr w:type="spellEnd"/>
      <w:r>
        <w:t xml:space="preserve"> is </w:t>
      </w:r>
      <w:proofErr w:type="spellStart"/>
      <w:r>
        <w:t>PacketWatch’s</w:t>
      </w:r>
      <w:proofErr w:type="spellEnd"/>
      <w:r>
        <w:t xml:space="preserve"> network visibility and security analytics platform. It provides visibility into network communications using full-packet capture curated with endpoint detection and response (EDR) telemetry and cyber threat intelligence (CTI) to provide superior data for identifying and analyzing threat actor behavior. </w:t>
      </w:r>
      <w:proofErr w:type="spellStart"/>
      <w:r>
        <w:t>WireSight</w:t>
      </w:r>
      <w:proofErr w:type="spellEnd"/>
      <w:r>
        <w:t xml:space="preserve"> is designed to help organizations gain deeper visibility into their environments, investigate suspicious activity, validate detections, and support more conclusive security analysis than is available from endpoint or log data alone.</w:t>
      </w:r>
    </w:p>
    <w:p w14:paraId="65038993" w14:textId="77777777" w:rsidR="00F04182" w:rsidRDefault="00F04182" w:rsidP="00113465">
      <w:pPr>
        <w:ind w:left="90"/>
        <w:rPr>
          <w:kern w:val="0"/>
          <w:szCs w:val="20"/>
          <w14:ligatures w14:val="none"/>
        </w:rPr>
      </w:pPr>
      <w:proofErr w:type="spellStart"/>
      <w:r>
        <w:t>WireSight</w:t>
      </w:r>
      <w:proofErr w:type="spellEnd"/>
      <w:r>
        <w:t xml:space="preserve"> may be licensed on a standalone basis or in conjunction with PacketWatch-managed or professional services. </w:t>
      </w:r>
      <w:proofErr w:type="spellStart"/>
      <w:r>
        <w:t>WireSight</w:t>
      </w:r>
      <w:proofErr w:type="spellEnd"/>
      <w:r>
        <w:t xml:space="preserve"> may also be used together with third-party products, including endpoint detection and response (EDR) products licensed through PacketWatch or customer-provided third-party security tools approved by PacketWatch for integration. The applicable Order identifies the specific </w:t>
      </w:r>
      <w:proofErr w:type="spellStart"/>
      <w:r>
        <w:t>WireSight</w:t>
      </w:r>
      <w:proofErr w:type="spellEnd"/>
      <w:r>
        <w:t xml:space="preserve"> components, related services, authorized user counts, storage amounts, and any optional modules or add-ons included in the subscription.</w:t>
      </w:r>
    </w:p>
    <w:p w14:paraId="2AAEAF99" w14:textId="77777777" w:rsidR="00F04182" w:rsidRDefault="00F04182" w:rsidP="00113465">
      <w:pPr>
        <w:pStyle w:val="Heading2"/>
        <w:ind w:left="90"/>
        <w:rPr>
          <w:kern w:val="0"/>
          <w14:ligatures w14:val="none"/>
        </w:rPr>
      </w:pPr>
      <w:bookmarkStart w:id="90" w:name="_Toc232428877"/>
      <w:bookmarkStart w:id="91" w:name="_Toc232497748"/>
      <w:r>
        <w:t>2. Core Platform Capabilities</w:t>
      </w:r>
      <w:bookmarkEnd w:id="90"/>
      <w:bookmarkEnd w:id="91"/>
    </w:p>
    <w:p w14:paraId="4E47FB8C" w14:textId="77777777" w:rsidR="00F04182" w:rsidRDefault="00F04182" w:rsidP="00113465">
      <w:pPr>
        <w:ind w:left="90"/>
        <w:rPr>
          <w:kern w:val="0"/>
          <w:szCs w:val="20"/>
          <w14:ligatures w14:val="none"/>
        </w:rPr>
      </w:pPr>
      <w:proofErr w:type="spellStart"/>
      <w:r>
        <w:t>WireSight</w:t>
      </w:r>
      <w:proofErr w:type="spellEnd"/>
      <w:r>
        <w:t xml:space="preserve"> captures and processes network traffic to provide visibility into communications across covered network segments. The platform supports full-packet capture and related metadata generation so that analysts and authorized users can search, pivot, inspect, and investigate suspicious or malicious activity with greater depth and context. </w:t>
      </w:r>
      <w:proofErr w:type="spellStart"/>
      <w:r>
        <w:t>WireSight</w:t>
      </w:r>
      <w:proofErr w:type="spellEnd"/>
      <w:r>
        <w:t xml:space="preserve"> is designed to support detection, alert triage, investigative workflows, reporting, and security operations use cases where packet-level evidence is important to understanding attacker behavior, validating alerts, or reconstructing activity.</w:t>
      </w:r>
    </w:p>
    <w:p w14:paraId="452D3236" w14:textId="77777777" w:rsidR="00F04182" w:rsidRDefault="00F04182" w:rsidP="00113465">
      <w:pPr>
        <w:ind w:left="90"/>
        <w:rPr>
          <w:kern w:val="0"/>
          <w:szCs w:val="20"/>
          <w14:ligatures w14:val="none"/>
        </w:rPr>
      </w:pPr>
      <w:proofErr w:type="spellStart"/>
      <w:r>
        <w:t>WireSight</w:t>
      </w:r>
      <w:proofErr w:type="spellEnd"/>
      <w:r>
        <w:t xml:space="preserve"> may be used together with EDR telemetry, threat intelligence, and other supported integrations to improve investigative context and detection fidelity. Depending on the subscription and configuration, the platform may include user access controls, administrative features, dashboards, search workflows, evidence review interfaces, and reporting features that support operational and security decision-making.</w:t>
      </w:r>
    </w:p>
    <w:p w14:paraId="38222E04" w14:textId="77777777" w:rsidR="00F04182" w:rsidRDefault="00F04182" w:rsidP="00113465">
      <w:pPr>
        <w:pStyle w:val="Heading2"/>
        <w:ind w:left="90"/>
        <w:rPr>
          <w:kern w:val="0"/>
          <w14:ligatures w14:val="none"/>
        </w:rPr>
      </w:pPr>
      <w:bookmarkStart w:id="92" w:name="_Toc232428878"/>
      <w:bookmarkStart w:id="93" w:name="_Toc232497749"/>
      <w:r>
        <w:t>3. Platform Components and Architecture</w:t>
      </w:r>
      <w:bookmarkEnd w:id="92"/>
      <w:bookmarkEnd w:id="93"/>
    </w:p>
    <w:p w14:paraId="60F177E7" w14:textId="77777777" w:rsidR="00F04182" w:rsidRDefault="00F04182" w:rsidP="00113465">
      <w:pPr>
        <w:ind w:left="90"/>
        <w:rPr>
          <w:kern w:val="0"/>
          <w:szCs w:val="20"/>
          <w14:ligatures w14:val="none"/>
        </w:rPr>
      </w:pPr>
      <w:proofErr w:type="spellStart"/>
      <w:r>
        <w:t>WireSight</w:t>
      </w:r>
      <w:proofErr w:type="spellEnd"/>
      <w:r>
        <w:t xml:space="preserve"> generally consists of hosted platform services operated by PacketWatch together with one or more collectors deployed in physical, virtual, or approved cloud-connected environments. Collectors are used to capture or receive mirrored network traffic and related technical data for processing within the </w:t>
      </w:r>
      <w:proofErr w:type="spellStart"/>
      <w:r>
        <w:t>WireSight</w:t>
      </w:r>
      <w:proofErr w:type="spellEnd"/>
      <w:r>
        <w:t xml:space="preserve"> environment. Depending on the subscription purchased, the overall </w:t>
      </w:r>
      <w:proofErr w:type="spellStart"/>
      <w:r>
        <w:t>WireSight</w:t>
      </w:r>
      <w:proofErr w:type="spellEnd"/>
      <w:r>
        <w:t xml:space="preserve"> architecture may also include metadata pipelines, storage and indexing layers, administrative interfaces, reporting features, supported integrations with third-party security technologies, and optional modules such as </w:t>
      </w:r>
      <w:proofErr w:type="spellStart"/>
      <w:r>
        <w:t>Irix</w:t>
      </w:r>
      <w:proofErr w:type="spellEnd"/>
      <w:r>
        <w:t>.</w:t>
      </w:r>
    </w:p>
    <w:p w14:paraId="11D7F8BA" w14:textId="77777777" w:rsidR="00F04182" w:rsidRDefault="00F04182" w:rsidP="00113465">
      <w:pPr>
        <w:ind w:left="90"/>
        <w:rPr>
          <w:kern w:val="0"/>
          <w:szCs w:val="20"/>
          <w14:ligatures w14:val="none"/>
        </w:rPr>
      </w:pPr>
      <w:r>
        <w:t xml:space="preserve">Certain subscriptions may include access to optional capabilities, premium modules, or enhanced analytics tiers. For example, if expressly identified in the applicable Order, the subscription may include access to </w:t>
      </w:r>
      <w:proofErr w:type="spellStart"/>
      <w:r>
        <w:t>Irix</w:t>
      </w:r>
      <w:proofErr w:type="spellEnd"/>
      <w:r>
        <w:t xml:space="preserve">, an optional module within </w:t>
      </w:r>
      <w:proofErr w:type="spellStart"/>
      <w:r>
        <w:t>WireSight</w:t>
      </w:r>
      <w:proofErr w:type="spellEnd"/>
      <w:r>
        <w:t xml:space="preserve"> that uses AI and machine learning techniques to identify latent attacker activity for analyst intervention. The applicable Order will state whether </w:t>
      </w:r>
      <w:proofErr w:type="spellStart"/>
      <w:r>
        <w:t>Irix</w:t>
      </w:r>
      <w:proofErr w:type="spellEnd"/>
      <w:r>
        <w:t xml:space="preserve"> is included in the subscription.</w:t>
      </w:r>
    </w:p>
    <w:p w14:paraId="6FD9DE45" w14:textId="77777777" w:rsidR="00F04182" w:rsidRDefault="00F04182" w:rsidP="00113465">
      <w:pPr>
        <w:pStyle w:val="Heading2"/>
        <w:ind w:left="90"/>
        <w:rPr>
          <w:kern w:val="0"/>
          <w14:ligatures w14:val="none"/>
        </w:rPr>
      </w:pPr>
      <w:bookmarkStart w:id="94" w:name="_Toc232428879"/>
      <w:bookmarkStart w:id="95" w:name="_Toc232497750"/>
      <w:r>
        <w:t>4. Supported Deployment Models</w:t>
      </w:r>
      <w:bookmarkEnd w:id="94"/>
      <w:bookmarkEnd w:id="95"/>
    </w:p>
    <w:p w14:paraId="5F46D9B9" w14:textId="77777777" w:rsidR="00F04182" w:rsidRDefault="00F04182" w:rsidP="00113465">
      <w:pPr>
        <w:ind w:left="90"/>
        <w:rPr>
          <w:kern w:val="0"/>
          <w:szCs w:val="20"/>
          <w14:ligatures w14:val="none"/>
        </w:rPr>
      </w:pPr>
      <w:proofErr w:type="spellStart"/>
      <w:r>
        <w:t>WireSight</w:t>
      </w:r>
      <w:proofErr w:type="spellEnd"/>
      <w:r>
        <w:t xml:space="preserve"> supports physical collector deployments, virtual collector deployments, and certain public cloud deployment models. The appropriate deployment model depends on the Client environment, expected traffic characteristics, retention goals, infrastructure constraints, and the design reflected in the applicable Order or deployment plan. Hybrid environments may use a combination of physical, virtual, and cloud-connected collection methods.</w:t>
      </w:r>
    </w:p>
    <w:p w14:paraId="38DD70EA" w14:textId="77777777" w:rsidR="00F04182" w:rsidRDefault="00F04182" w:rsidP="00113465">
      <w:pPr>
        <w:ind w:left="90"/>
        <w:rPr>
          <w:kern w:val="0"/>
          <w:szCs w:val="20"/>
          <w14:ligatures w14:val="none"/>
        </w:rPr>
      </w:pPr>
      <w:r>
        <w:t>The applicable Order should identify the expected number of collectors to be deployed and the sourcing model for the associated hardware or virtual environment. Depending on the deployment design, collector hardware may be customer-provided, partner-provided, PacketWatch-provided where applicable, or otherwise sourced as reflected in the applicable Order, and virtual collector environments may be customer-managed or otherwise designated in the applicable commercial documents.</w:t>
      </w:r>
    </w:p>
    <w:p w14:paraId="5EDE278D" w14:textId="77777777" w:rsidR="00F04182" w:rsidRDefault="00F04182" w:rsidP="00113465">
      <w:pPr>
        <w:pStyle w:val="Heading2"/>
        <w:ind w:left="90"/>
        <w:rPr>
          <w:kern w:val="0"/>
          <w14:ligatures w14:val="none"/>
        </w:rPr>
      </w:pPr>
      <w:bookmarkStart w:id="96" w:name="_Toc232428880"/>
      <w:bookmarkStart w:id="97" w:name="_Toc232497751"/>
      <w:r>
        <w:t>5. Licensing and Included Platform Components</w:t>
      </w:r>
      <w:bookmarkEnd w:id="96"/>
      <w:bookmarkEnd w:id="97"/>
    </w:p>
    <w:p w14:paraId="02666A86" w14:textId="77777777" w:rsidR="00C52E66" w:rsidRDefault="00C52E66">
      <w:pPr>
        <w:ind w:left="90"/>
      </w:pPr>
      <w:r>
        <w:t xml:space="preserve">Subject to the governing agreement and any usage, deployment, or capacity limits stated in the applicable Order, the </w:t>
      </w:r>
      <w:proofErr w:type="spellStart"/>
      <w:r>
        <w:t>WireSight</w:t>
      </w:r>
      <w:proofErr w:type="spellEnd"/>
      <w:r>
        <w:t xml:space="preserve"> subscription grants Client the right to access and use </w:t>
      </w:r>
      <w:proofErr w:type="spellStart"/>
      <w:r>
        <w:t>WireSight</w:t>
      </w:r>
      <w:proofErr w:type="spellEnd"/>
      <w:r>
        <w:t xml:space="preserve"> during the subscription term identified in the applicable Order. Unless otherwise stated in the applicable Order, the base subscription includes access for up to 5 authorized users and a license for 1 </w:t>
      </w:r>
      <w:proofErr w:type="gramStart"/>
      <w:r>
        <w:t>collector, but</w:t>
      </w:r>
      <w:proofErr w:type="gramEnd"/>
      <w:r>
        <w:t xml:space="preserve"> does not include the underlying hardware or virtual infrastructure for that collector. Collectors may be deployed as physical collectors, virtual collectors, or approved cloud-connected collectors, depending on the agreed deployment model. The applicable Order should identify the expected number and type of collectors for the deployment, and the associated sourcing model for the underlying hardware or virtual infrastructure.</w:t>
      </w:r>
    </w:p>
    <w:p w14:paraId="28456B3A" w14:textId="77777777" w:rsidR="00C52E66" w:rsidRDefault="00C52E66">
      <w:pPr>
        <w:ind w:left="90"/>
        <w:rPr>
          <w:kern w:val="0"/>
          <w:szCs w:val="20"/>
          <w14:ligatures w14:val="none"/>
        </w:rPr>
      </w:pPr>
    </w:p>
    <w:p w14:paraId="1E369D3D" w14:textId="77777777" w:rsidR="00C52E66" w:rsidRDefault="00C52E66">
      <w:pPr>
        <w:ind w:left="90"/>
        <w:rPr>
          <w:kern w:val="0"/>
          <w:szCs w:val="20"/>
          <w14:ligatures w14:val="none"/>
        </w:rPr>
      </w:pPr>
    </w:p>
    <w:tbl>
      <w:tblPr>
        <w:tblW w:w="9351" w:type="dxa"/>
        <w:tblInd w:w="-88"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1952"/>
        <w:gridCol w:w="7399"/>
      </w:tblGrid>
      <w:tr w:rsidR="00F04182" w14:paraId="45F485DA" w14:textId="77777777" w:rsidTr="00113465">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2FC048D5" w14:textId="77777777" w:rsidR="00F04182" w:rsidRDefault="00F04182" w:rsidP="00113465">
            <w:pPr>
              <w:spacing w:after="0"/>
              <w:ind w:left="90" w:firstLine="0"/>
              <w:jc w:val="center"/>
              <w:rPr>
                <w:kern w:val="0"/>
                <w:szCs w:val="20"/>
                <w14:ligatures w14:val="none"/>
              </w:rPr>
            </w:pPr>
            <w:r>
              <w:rPr>
                <w:b/>
                <w:bCs/>
                <w:color w:val="FFFFFF"/>
              </w:rPr>
              <w:t>Commercial Item</w:t>
            </w:r>
          </w:p>
        </w:tc>
        <w:tc>
          <w:tcPr>
            <w:tcW w:w="0" w:type="auto"/>
            <w:tcBorders>
              <w:top w:val="outset" w:sz="6" w:space="0" w:color="auto"/>
              <w:left w:val="outset" w:sz="6" w:space="0" w:color="auto"/>
              <w:bottom w:val="outset" w:sz="6" w:space="0" w:color="auto"/>
              <w:right w:val="outset" w:sz="6" w:space="0" w:color="auto"/>
            </w:tcBorders>
            <w:shd w:val="clear" w:color="auto" w:fill="006EC0"/>
            <w:vAlign w:val="center"/>
            <w:hideMark/>
          </w:tcPr>
          <w:p w14:paraId="7EB6CD72" w14:textId="77777777" w:rsidR="00F04182" w:rsidRDefault="00F04182" w:rsidP="00113465">
            <w:pPr>
              <w:spacing w:after="0"/>
              <w:ind w:left="90" w:firstLine="0"/>
              <w:jc w:val="center"/>
            </w:pPr>
            <w:r>
              <w:rPr>
                <w:b/>
                <w:bCs/>
                <w:color w:val="FFFFFF"/>
              </w:rPr>
              <w:t>Order Reference</w:t>
            </w:r>
          </w:p>
        </w:tc>
      </w:tr>
      <w:tr w:rsidR="00F04182" w14:paraId="35B8CCF7"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50BFC433" w14:textId="77777777" w:rsidR="00F04182" w:rsidRDefault="00F04182" w:rsidP="00113465">
            <w:pPr>
              <w:spacing w:after="0"/>
              <w:ind w:left="90" w:firstLine="0"/>
            </w:pPr>
            <w:r>
              <w:t>Authorized users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6C7B8" w14:textId="77777777" w:rsidR="00F04182" w:rsidRDefault="00F04182" w:rsidP="00113465">
            <w:pPr>
              <w:spacing w:after="0"/>
              <w:ind w:left="90" w:firstLine="0"/>
            </w:pPr>
            <w:r>
              <w:t>Unless otherwise stated, the base subscription includes up to 5 authorized users. The total number of authorized users is specified in the applicable Order.</w:t>
            </w:r>
          </w:p>
        </w:tc>
      </w:tr>
      <w:tr w:rsidR="00F04182" w14:paraId="742F839A"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0D9BE185" w14:textId="77777777" w:rsidR="00F04182" w:rsidRDefault="00F04182" w:rsidP="00113465">
            <w:pPr>
              <w:spacing w:after="0"/>
              <w:ind w:left="90" w:firstLine="0"/>
            </w:pPr>
            <w:r>
              <w:t>Base data storage amount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7713A" w14:textId="77777777" w:rsidR="00F04182" w:rsidRDefault="00F04182" w:rsidP="00113465">
            <w:pPr>
              <w:spacing w:after="0"/>
              <w:ind w:left="90" w:firstLine="0"/>
            </w:pPr>
            <w:r>
              <w:t>The base data storage amount for the subscription is specified in the applicable Order.</w:t>
            </w:r>
          </w:p>
        </w:tc>
      </w:tr>
      <w:tr w:rsidR="00F04182" w14:paraId="6D0E3412"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5DD89A5D" w14:textId="77777777" w:rsidR="00F04182" w:rsidRDefault="00F04182" w:rsidP="00113465">
            <w:pPr>
              <w:spacing w:after="0"/>
              <w:ind w:left="90" w:firstLine="0"/>
            </w:pPr>
            <w:proofErr w:type="spellStart"/>
            <w:r>
              <w:t>Irix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9A6BF85" w14:textId="77777777" w:rsidR="00F04182" w:rsidRDefault="00F04182" w:rsidP="00113465">
            <w:pPr>
              <w:spacing w:after="0"/>
              <w:ind w:left="90" w:firstLine="0"/>
            </w:pPr>
            <w:r>
              <w:t xml:space="preserve">The applicable Order will state whether the subscription includes access to </w:t>
            </w:r>
            <w:proofErr w:type="spellStart"/>
            <w:r>
              <w:t>Irix</w:t>
            </w:r>
            <w:proofErr w:type="spellEnd"/>
            <w:r>
              <w:t xml:space="preserve">, an optional module within </w:t>
            </w:r>
            <w:proofErr w:type="spellStart"/>
            <w:r>
              <w:t>WireSight</w:t>
            </w:r>
            <w:proofErr w:type="spellEnd"/>
            <w:r>
              <w:t>.</w:t>
            </w:r>
          </w:p>
        </w:tc>
      </w:tr>
      <w:tr w:rsidR="00F04182" w14:paraId="039F7B63"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54F07FD0" w14:textId="77777777" w:rsidR="00F04182" w:rsidRDefault="00F04182" w:rsidP="00113465">
            <w:pPr>
              <w:spacing w:after="0"/>
              <w:ind w:left="90" w:firstLine="0"/>
            </w:pPr>
            <w:r>
              <w:t>Expected number of collectors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D93F2" w14:textId="77777777" w:rsidR="00C33D86" w:rsidRDefault="00C33D86">
            <w:pPr>
              <w:spacing w:after="0"/>
              <w:ind w:left="90" w:firstLine="0"/>
              <w:rPr>
                <w:kern w:val="0"/>
                <w:szCs w:val="20"/>
                <w14:ligatures w14:val="none"/>
              </w:rPr>
            </w:pPr>
            <w:r>
              <w:t>Unless otherwise stated in the applicable Order, the base subscription includes a license for 1 collector. The applicable Order should identify the total expected number of collectors for the deployment.</w:t>
            </w:r>
          </w:p>
          <w:p w14:paraId="29643058" w14:textId="08D5C906" w:rsidR="00F04182" w:rsidRDefault="00F04182" w:rsidP="00113465">
            <w:pPr>
              <w:spacing w:after="0"/>
              <w:ind w:left="90" w:firstLine="0"/>
            </w:pPr>
          </w:p>
        </w:tc>
      </w:tr>
      <w:tr w:rsidR="00F04182" w14:paraId="5E53E8E6" w14:textId="77777777" w:rsidTr="00113465">
        <w:tc>
          <w:tcPr>
            <w:tcW w:w="0" w:type="auto"/>
            <w:tcBorders>
              <w:top w:val="outset" w:sz="6" w:space="0" w:color="auto"/>
              <w:left w:val="outset" w:sz="6" w:space="0" w:color="auto"/>
              <w:bottom w:val="outset" w:sz="6" w:space="0" w:color="auto"/>
              <w:right w:val="outset" w:sz="6" w:space="0" w:color="auto"/>
            </w:tcBorders>
            <w:vAlign w:val="center"/>
            <w:hideMark/>
          </w:tcPr>
          <w:p w14:paraId="184D2928" w14:textId="77777777" w:rsidR="00F04182" w:rsidRDefault="00F04182" w:rsidP="00113465">
            <w:pPr>
              <w:spacing w:after="0"/>
              <w:ind w:left="90" w:firstLine="0"/>
            </w:pPr>
            <w:r>
              <w:t>Collector sourcing model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0B31A" w14:textId="77777777" w:rsidR="00F04182" w:rsidRDefault="00F04182" w:rsidP="00113465">
            <w:pPr>
              <w:spacing w:after="0"/>
              <w:ind w:left="90" w:firstLine="0"/>
            </w:pPr>
            <w:r>
              <w:t xml:space="preserve">The applicable Order should identify whether the </w:t>
            </w:r>
            <w:proofErr w:type="gramStart"/>
            <w:r>
              <w:t>collector</w:t>
            </w:r>
            <w:proofErr w:type="gramEnd"/>
            <w:r>
              <w:t xml:space="preserve"> hardware or virtual infrastructure is customer-sourced, partner-sourced, PacketWatch-provided where applicable, or otherwise designated.</w:t>
            </w:r>
          </w:p>
        </w:tc>
      </w:tr>
    </w:tbl>
    <w:p w14:paraId="63ADA60F" w14:textId="77777777" w:rsidR="00C33D86" w:rsidRDefault="00C33D86">
      <w:pPr>
        <w:ind w:left="90"/>
        <w:rPr>
          <w:kern w:val="0"/>
          <w:szCs w:val="20"/>
          <w14:ligatures w14:val="none"/>
        </w:rPr>
      </w:pPr>
      <w:bookmarkStart w:id="98" w:name="_Toc232428881"/>
      <w:bookmarkStart w:id="99" w:name="_Toc232497752"/>
      <w:r>
        <w:t xml:space="preserve">Optional features, optional modules, additional users, additional collectors, higher-capacity collector configurations, and additional hosted metadata storage may be made available under the applicable Order, quote, or other written agreement. Unless expressly included in the applicable Order, such items are not included in the base </w:t>
      </w:r>
      <w:proofErr w:type="spellStart"/>
      <w:r>
        <w:t>WireSight</w:t>
      </w:r>
      <w:proofErr w:type="spellEnd"/>
      <w:r>
        <w:t xml:space="preserve"> subscription. Additional collectors, higher-capacity configurations, additional storage, and related deployment or configuration support may be purchased separately, subject to </w:t>
      </w:r>
      <w:proofErr w:type="spellStart"/>
      <w:r>
        <w:t>PacketWatch’s</w:t>
      </w:r>
      <w:proofErr w:type="spellEnd"/>
      <w:r>
        <w:t xml:space="preserve"> then-current offerings and written approval where required.</w:t>
      </w:r>
    </w:p>
    <w:p w14:paraId="7E1E2EB5" w14:textId="77777777" w:rsidR="00F04182" w:rsidRDefault="00F04182" w:rsidP="00113465">
      <w:pPr>
        <w:pStyle w:val="Heading2"/>
        <w:ind w:left="90"/>
        <w:rPr>
          <w:kern w:val="0"/>
          <w14:ligatures w14:val="none"/>
        </w:rPr>
      </w:pPr>
      <w:r>
        <w:t>6. Data Collection, Storage, and Retention</w:t>
      </w:r>
      <w:bookmarkEnd w:id="98"/>
      <w:bookmarkEnd w:id="99"/>
    </w:p>
    <w:p w14:paraId="64FCE754" w14:textId="77777777" w:rsidR="00F04182" w:rsidRDefault="00F04182" w:rsidP="00113465">
      <w:pPr>
        <w:ind w:left="90"/>
        <w:rPr>
          <w:kern w:val="0"/>
          <w:szCs w:val="20"/>
          <w14:ligatures w14:val="none"/>
        </w:rPr>
      </w:pPr>
      <w:proofErr w:type="spellStart"/>
      <w:r>
        <w:t>WireSight</w:t>
      </w:r>
      <w:proofErr w:type="spellEnd"/>
      <w:r>
        <w:t xml:space="preserve"> is designed to collect and process network traffic, packet data, derived metadata, and related technical information necessary to operate the platform and support security analysis. Depending on the deployment and enabled integrations, </w:t>
      </w:r>
      <w:proofErr w:type="spellStart"/>
      <w:r>
        <w:t>WireSight</w:t>
      </w:r>
      <w:proofErr w:type="spellEnd"/>
      <w:r>
        <w:t xml:space="preserve"> may also use related telemetry, detection context, and supported enrichment data made available through integrated tools.</w:t>
      </w:r>
    </w:p>
    <w:p w14:paraId="2FFF922C" w14:textId="77777777" w:rsidR="00C52E66" w:rsidRDefault="00C52E66">
      <w:pPr>
        <w:ind w:left="90"/>
        <w:rPr>
          <w:kern w:val="0"/>
          <w:szCs w:val="20"/>
          <w14:ligatures w14:val="none"/>
        </w:rPr>
      </w:pPr>
      <w:bookmarkStart w:id="100" w:name="_Toc232428882"/>
      <w:bookmarkStart w:id="101" w:name="_Toc232497753"/>
      <w:r>
        <w:t xml:space="preserve">The base data storage amount for the subscription is specified in the applicable Order. Unless otherwise stated in the applicable Order or quote, the amount of Client data collected under </w:t>
      </w:r>
      <w:proofErr w:type="spellStart"/>
      <w:r>
        <w:t>WireSight</w:t>
      </w:r>
      <w:proofErr w:type="spellEnd"/>
      <w:r>
        <w:t xml:space="preserve"> is limited to the hosted metadata storage amount and the local collector packet storage capacity identified in the applicable Order. Metadata retention periods, local packet capture retention, and practical retention outcomes depend on the licensed or configured storage amounts, collector sizing, traffic volume, deployment architecture, and actual usage levels. If the applicable Order specifies different storage amounts, larger collector capacities, or additional collector capacity, the Order </w:t>
      </w:r>
      <w:proofErr w:type="gramStart"/>
      <w:r>
        <w:t>controls for</w:t>
      </w:r>
      <w:proofErr w:type="gramEnd"/>
      <w:r>
        <w:t xml:space="preserve"> that subscription. If Client requires additional hosted metadata storage or additional collector storage capacity, PacketWatch may offer such expanded capacity under an amendment, change order, or other written agreement that includes any applicable fees and related terms. If the subscription includes local collector storage, packet capture data may be overwritten on a first-in, first-out basis when available capacity is reached. If the subscription includes hosted metadata storage, retention periods may be shortened if actual usage exceeds the licensed or configured capacity and no additional capacity is purchased.</w:t>
      </w:r>
    </w:p>
    <w:p w14:paraId="049314E9" w14:textId="77777777" w:rsidR="00F04182" w:rsidRDefault="00F04182" w:rsidP="00113465">
      <w:pPr>
        <w:pStyle w:val="Heading2"/>
        <w:ind w:left="90"/>
        <w:rPr>
          <w:kern w:val="0"/>
          <w14:ligatures w14:val="none"/>
        </w:rPr>
      </w:pPr>
      <w:r>
        <w:t>7. Integrations and Ecosystem</w:t>
      </w:r>
      <w:bookmarkEnd w:id="100"/>
      <w:bookmarkEnd w:id="101"/>
    </w:p>
    <w:p w14:paraId="6FD6FF01" w14:textId="77777777" w:rsidR="00F04182" w:rsidRDefault="00F04182" w:rsidP="00113465">
      <w:pPr>
        <w:ind w:left="90"/>
        <w:rPr>
          <w:kern w:val="0"/>
          <w:szCs w:val="20"/>
          <w14:ligatures w14:val="none"/>
        </w:rPr>
      </w:pPr>
      <w:proofErr w:type="spellStart"/>
      <w:r>
        <w:t>WireSight</w:t>
      </w:r>
      <w:proofErr w:type="spellEnd"/>
      <w:r>
        <w:t xml:space="preserve"> may support integrations with third-party security and operational technologies, including EDR, identity, cloud, ticketing, collaboration, and other systems approved by PacketWatch. Supported integrations may be used to enrich investigations, improve context, streamline workflows, or provide additional visibility to authorized users and analysts.</w:t>
      </w:r>
    </w:p>
    <w:p w14:paraId="13C3AE78" w14:textId="77777777" w:rsidR="00F04182" w:rsidRDefault="00F04182" w:rsidP="00113465">
      <w:pPr>
        <w:ind w:left="90"/>
        <w:rPr>
          <w:kern w:val="0"/>
          <w:szCs w:val="20"/>
          <w14:ligatures w14:val="none"/>
        </w:rPr>
      </w:pPr>
      <w:r>
        <w:t xml:space="preserve">Client is responsible for providing and maintaining the rights, credentials, access, approvals, and supported environment necessary for any third-party integration that Client elects to use with </w:t>
      </w:r>
      <w:proofErr w:type="spellStart"/>
      <w:r>
        <w:t>WireSight</w:t>
      </w:r>
      <w:proofErr w:type="spellEnd"/>
      <w:r>
        <w:t>, unless otherwise expressly stated in the applicable Order. Integration capabilities may depend on the availability and support posture of the relevant third-party provider.</w:t>
      </w:r>
    </w:p>
    <w:p w14:paraId="65CEE9FA" w14:textId="77777777" w:rsidR="00F04182" w:rsidRDefault="00F04182" w:rsidP="00113465">
      <w:pPr>
        <w:pStyle w:val="Heading2"/>
        <w:ind w:left="90"/>
        <w:rPr>
          <w:kern w:val="0"/>
          <w14:ligatures w14:val="none"/>
        </w:rPr>
      </w:pPr>
      <w:bookmarkStart w:id="102" w:name="_Toc232428883"/>
      <w:bookmarkStart w:id="103" w:name="_Toc232497754"/>
      <w:r>
        <w:t>8. Security, Privacy, and Data Handling</w:t>
      </w:r>
      <w:bookmarkEnd w:id="102"/>
      <w:bookmarkEnd w:id="103"/>
    </w:p>
    <w:p w14:paraId="103A4FD5" w14:textId="77777777" w:rsidR="00F04182" w:rsidRDefault="00F04182" w:rsidP="00113465">
      <w:pPr>
        <w:ind w:left="90"/>
        <w:rPr>
          <w:kern w:val="0"/>
          <w:szCs w:val="20"/>
          <w14:ligatures w14:val="none"/>
        </w:rPr>
      </w:pPr>
      <w:proofErr w:type="spellStart"/>
      <w:r>
        <w:t>WireSight</w:t>
      </w:r>
      <w:proofErr w:type="spellEnd"/>
      <w:r>
        <w:t xml:space="preserve"> is operated subject to the governing agreement, including applicable data security, privacy, and Client Data handling terms. PacketWatch uses administrative, technical, and organizational safeguards appropriate to the nature of </w:t>
      </w:r>
      <w:proofErr w:type="spellStart"/>
      <w:r>
        <w:t>WireSight</w:t>
      </w:r>
      <w:proofErr w:type="spellEnd"/>
      <w:r>
        <w:t xml:space="preserve"> and the related services provided. </w:t>
      </w:r>
      <w:proofErr w:type="spellStart"/>
      <w:r>
        <w:t>WireSight’s</w:t>
      </w:r>
      <w:proofErr w:type="spellEnd"/>
      <w:r>
        <w:t xml:space="preserve"> collection and processing of technical data is intended to support security analysis, detection, investigation, platform operations, and service improvement.</w:t>
      </w:r>
    </w:p>
    <w:p w14:paraId="66AAE2BC" w14:textId="77777777" w:rsidR="00F04182" w:rsidRDefault="00F04182" w:rsidP="00113465">
      <w:pPr>
        <w:ind w:left="90"/>
        <w:rPr>
          <w:kern w:val="0"/>
          <w:szCs w:val="20"/>
          <w14:ligatures w14:val="none"/>
        </w:rPr>
      </w:pPr>
      <w:r>
        <w:t xml:space="preserve">Where permitted by the governing agreement and applicable law, PacketWatch may use telemetry, security artifacts, detection metadata, and derived technical information collected through </w:t>
      </w:r>
      <w:proofErr w:type="spellStart"/>
      <w:r>
        <w:t>WireSight</w:t>
      </w:r>
      <w:proofErr w:type="spellEnd"/>
      <w:r>
        <w:t xml:space="preserve"> to operate, secure, maintain, and improve the platform, including </w:t>
      </w:r>
      <w:proofErr w:type="gramStart"/>
      <w:r>
        <w:t>to develop</w:t>
      </w:r>
      <w:proofErr w:type="gramEnd"/>
      <w:r>
        <w:t xml:space="preserve"> and </w:t>
      </w:r>
      <w:proofErr w:type="gramStart"/>
      <w:r>
        <w:t>improve</w:t>
      </w:r>
      <w:proofErr w:type="gramEnd"/>
      <w:r>
        <w:t xml:space="preserve"> analytics and machine learning capabilities. Additional details regarding privacy, data handling, international transfers, and applicable data protection terms are governed by the Privacy Policy, any Data Security and Privacy Schedule, and any applicable Data Protection Addendum.</w:t>
      </w:r>
    </w:p>
    <w:p w14:paraId="4C117362" w14:textId="77777777" w:rsidR="00346779" w:rsidRDefault="00346779" w:rsidP="00113465">
      <w:pPr>
        <w:pStyle w:val="Heading2"/>
        <w:ind w:left="90"/>
        <w:rPr>
          <w:kern w:val="0"/>
          <w14:ligatures w14:val="none"/>
        </w:rPr>
      </w:pPr>
      <w:bookmarkStart w:id="104" w:name="_Toc232428884"/>
      <w:bookmarkStart w:id="105" w:name="_Toc232497755"/>
      <w:r>
        <w:t>9. Support, Maintenance, and Platform Operations</w:t>
      </w:r>
      <w:bookmarkEnd w:id="104"/>
      <w:bookmarkEnd w:id="105"/>
    </w:p>
    <w:p w14:paraId="02B24E4B" w14:textId="77777777" w:rsidR="00C52E66" w:rsidRDefault="00C52E66">
      <w:pPr>
        <w:ind w:left="90"/>
        <w:rPr>
          <w:kern w:val="0"/>
          <w:szCs w:val="20"/>
          <w14:ligatures w14:val="none"/>
        </w:rPr>
      </w:pPr>
      <w:r>
        <w:t xml:space="preserve">PacketWatch may update, maintain, patch, enhance, and operate </w:t>
      </w:r>
      <w:proofErr w:type="spellStart"/>
      <w:r>
        <w:t>WireSight</w:t>
      </w:r>
      <w:proofErr w:type="spellEnd"/>
      <w:r>
        <w:t xml:space="preserve"> during the subscription term in accordance with the governing agreement and normal operational practices. Client is responsible for maintaining supported environments, connectivity, and access to any customer-managed hardware, virtual infrastructure, collector environments, integrations, or other deployment components required outside PacketWatch-operated systems.</w:t>
      </w:r>
    </w:p>
    <w:p w14:paraId="0CD9997F" w14:textId="77777777" w:rsidR="00346779" w:rsidRDefault="00346779" w:rsidP="00113465">
      <w:pPr>
        <w:ind w:left="90"/>
        <w:rPr>
          <w:kern w:val="0"/>
          <w:szCs w:val="20"/>
          <w14:ligatures w14:val="none"/>
        </w:rPr>
      </w:pPr>
      <w:r>
        <w:t>Platform access does not, by itself, include separately ordered Professional Services, analyst-driven threat hunting, incident response, or other human-delivered services unless those services are expressly included in the applicable Order or other written agreement.</w:t>
      </w:r>
    </w:p>
    <w:p w14:paraId="6CF817F4" w14:textId="77777777" w:rsidR="00346779" w:rsidRDefault="00346779" w:rsidP="00113465">
      <w:pPr>
        <w:pStyle w:val="Heading2"/>
        <w:ind w:left="90"/>
        <w:rPr>
          <w:kern w:val="0"/>
          <w14:ligatures w14:val="none"/>
        </w:rPr>
      </w:pPr>
      <w:bookmarkStart w:id="106" w:name="_Toc232428885"/>
      <w:bookmarkStart w:id="107" w:name="_Toc232497756"/>
      <w:r>
        <w:t>10. Assumptions, Exclusions, and Limitations</w:t>
      </w:r>
      <w:bookmarkEnd w:id="106"/>
      <w:bookmarkEnd w:id="107"/>
    </w:p>
    <w:p w14:paraId="0FC9BCF6" w14:textId="77777777" w:rsidR="00346779" w:rsidRDefault="00346779" w:rsidP="00113465">
      <w:pPr>
        <w:ind w:left="90"/>
        <w:rPr>
          <w:kern w:val="0"/>
          <w:szCs w:val="20"/>
          <w14:ligatures w14:val="none"/>
        </w:rPr>
      </w:pPr>
      <w:proofErr w:type="spellStart"/>
      <w:r>
        <w:t>WireSight</w:t>
      </w:r>
      <w:proofErr w:type="spellEnd"/>
      <w:r>
        <w:t xml:space="preserve"> is a security platform and is </w:t>
      </w:r>
      <w:proofErr w:type="gramStart"/>
      <w:r>
        <w:t>not a</w:t>
      </w:r>
      <w:proofErr w:type="gramEnd"/>
      <w:r>
        <w:t xml:space="preserve"> </w:t>
      </w:r>
      <w:proofErr w:type="gramStart"/>
      <w:r>
        <w:t>guarantee</w:t>
      </w:r>
      <w:proofErr w:type="gramEnd"/>
      <w:r>
        <w:t xml:space="preserve"> that all malicious activity, unauthorized access, or security incidents will be detected or prevented. Platform performance depends on deployment design, collector placement, traffic availability, network mirroring quality, supported integrations, storage levels, data quality, and other environmental factors. Certain capabilities may require specific configurations, supported infrastructure, or separately licensed components.</w:t>
      </w:r>
    </w:p>
    <w:p w14:paraId="2F5433DF" w14:textId="77777777" w:rsidR="00346779" w:rsidRDefault="00346779" w:rsidP="00113465">
      <w:pPr>
        <w:ind w:left="90"/>
        <w:rPr>
          <w:kern w:val="0"/>
          <w:szCs w:val="20"/>
          <w14:ligatures w14:val="none"/>
        </w:rPr>
      </w:pPr>
      <w:r>
        <w:t xml:space="preserve">Collector deployments must meet </w:t>
      </w:r>
      <w:proofErr w:type="spellStart"/>
      <w:r>
        <w:t>PacketWatch’s</w:t>
      </w:r>
      <w:proofErr w:type="spellEnd"/>
      <w:r>
        <w:t xml:space="preserve"> applicable minimum specifications unless PacketWatch approves an equivalent or higher-performance configuration in writing. Those minimum specifications may be described in a technical addendum, deployment guide, or other PacketWatch documentation referenced by the Order or deployment materials.</w:t>
      </w:r>
    </w:p>
    <w:p w14:paraId="7050921D" w14:textId="77777777" w:rsidR="00346779" w:rsidRDefault="00346779" w:rsidP="00113465">
      <w:pPr>
        <w:pStyle w:val="Heading2"/>
        <w:ind w:left="90"/>
        <w:rPr>
          <w:kern w:val="0"/>
          <w14:ligatures w14:val="none"/>
        </w:rPr>
      </w:pPr>
      <w:bookmarkStart w:id="108" w:name="_Toc232428886"/>
      <w:bookmarkStart w:id="109" w:name="_Toc232497757"/>
      <w:r>
        <w:t>11. Related Documents and Commercial References</w:t>
      </w:r>
      <w:bookmarkEnd w:id="108"/>
      <w:bookmarkEnd w:id="109"/>
    </w:p>
    <w:p w14:paraId="2BD77D79" w14:textId="77777777" w:rsidR="00346779" w:rsidRDefault="00346779" w:rsidP="00113465">
      <w:pPr>
        <w:ind w:left="90"/>
        <w:rPr>
          <w:kern w:val="0"/>
          <w:szCs w:val="20"/>
          <w14:ligatures w14:val="none"/>
        </w:rPr>
      </w:pPr>
      <w:r>
        <w:t>This Exhibit D should be read together with the applicable Order, the PacketWatch General Terms and Conditions (or other governing agreement), the Privacy Policy, any applicable Data Security and Privacy Schedule or Data Protection Addendum, and any referenced technical addenda or deployment requirements. If there is a conflict between this Exhibit D and the governing agreement, the governing agreement controls unless the applicable Order expressly states otherwise for the subscription at issue.</w:t>
      </w:r>
    </w:p>
    <w:p w14:paraId="0A5C65C1" w14:textId="77777777" w:rsidR="00F82EBC" w:rsidRDefault="00F82EBC"/>
    <w:sectPr w:rsidR="00F82EBC" w:rsidSect="00113465">
      <w:headerReference w:type="even" r:id="rId8"/>
      <w:headerReference w:type="default" r:id="rId9"/>
      <w:footerReference w:type="even" r:id="rId10"/>
      <w:footerReference w:type="default" r:id="rId11"/>
      <w:headerReference w:type="first" r:id="rId12"/>
      <w:footerReference w:type="first" r:id="rId13"/>
      <w:pgSz w:w="12240" w:h="15840"/>
      <w:pgMar w:top="1786" w:right="1440" w:bottom="1440" w:left="1440" w:header="590" w:footer="1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01A3" w14:textId="77777777" w:rsidR="005A7438" w:rsidRDefault="005A7438">
      <w:pPr>
        <w:spacing w:after="0" w:line="240" w:lineRule="auto"/>
      </w:pPr>
      <w:r>
        <w:separator/>
      </w:r>
    </w:p>
  </w:endnote>
  <w:endnote w:type="continuationSeparator" w:id="0">
    <w:p w14:paraId="3832E9A0" w14:textId="77777777" w:rsidR="005A7438" w:rsidRDefault="005A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D5EE" w14:textId="77777777" w:rsidR="00C23767" w:rsidRDefault="005A7438">
    <w:pPr>
      <w:tabs>
        <w:tab w:val="center" w:pos="1921"/>
        <w:tab w:val="right" w:pos="10830"/>
      </w:tabs>
      <w:spacing w:after="0" w:line="259" w:lineRule="auto"/>
      <w:ind w:left="0" w:firstLine="0"/>
      <w:jc w:val="left"/>
    </w:pPr>
    <w:r>
      <w:t xml:space="preserve"> </w:t>
    </w:r>
    <w:r>
      <w:tab/>
      <w:t xml:space="preserve">04/08/2026 </w:t>
    </w:r>
    <w:r>
      <w:tab/>
    </w:r>
    <w:r>
      <w:fldChar w:fldCharType="begin"/>
    </w:r>
    <w:r>
      <w:instrText xml:space="preserve"> PAGE   \* MERGEFORMAT </w:instrText>
    </w:r>
    <w:r>
      <w:fldChar w:fldCharType="separate"/>
    </w:r>
    <w: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DF2B" w14:textId="5546C02B" w:rsidR="002B688C" w:rsidRDefault="005A7438">
    <w:pPr>
      <w:tabs>
        <w:tab w:val="center" w:pos="1921"/>
        <w:tab w:val="right" w:pos="10830"/>
      </w:tabs>
      <w:spacing w:after="0" w:line="259" w:lineRule="auto"/>
      <w:ind w:left="0" w:firstLine="0"/>
      <w:jc w:val="left"/>
    </w:pPr>
    <w:r>
      <w:rPr>
        <w:noProof/>
      </w:rPr>
      <w:pict w14:anchorId="42BBDDF2">
        <v:rect id="_x0000_i1025" alt="" style="width:468pt;height:.05pt;mso-width-percent:0;mso-height-percent:0;mso-width-percent:0;mso-height-percent:0" o:hralign="center" o:hrstd="t" o:hr="t" fillcolor="#a0a0a0" stroked="f"/>
      </w:pict>
    </w:r>
  </w:p>
  <w:p w14:paraId="02B4B0EB" w14:textId="5E01281A" w:rsidR="00C23767" w:rsidRDefault="005A7438">
    <w:pPr>
      <w:tabs>
        <w:tab w:val="center" w:pos="1921"/>
        <w:tab w:val="right" w:pos="10830"/>
      </w:tabs>
      <w:spacing w:after="0" w:line="259" w:lineRule="auto"/>
      <w:ind w:left="0" w:firstLine="0"/>
      <w:jc w:val="left"/>
    </w:pPr>
    <w:r>
      <w:t xml:space="preserve"> </w:t>
    </w:r>
    <w:r w:rsidR="00346779" w:rsidRPr="00346779">
      <w:rPr>
        <w:rFonts w:asciiTheme="minorHAnsi" w:hAnsiTheme="minorHAnsi"/>
        <w:sz w:val="16"/>
        <w:szCs w:val="16"/>
      </w:rPr>
      <w:t xml:space="preserve">Rev. </w:t>
    </w:r>
    <w:r w:rsidR="001E4554" w:rsidRPr="00346779">
      <w:rPr>
        <w:rFonts w:asciiTheme="minorHAnsi" w:hAnsiTheme="minorHAnsi"/>
        <w:sz w:val="16"/>
        <w:szCs w:val="16"/>
      </w:rPr>
      <w:t>06/15</w:t>
    </w:r>
    <w:r w:rsidRPr="00346779">
      <w:rPr>
        <w:rFonts w:asciiTheme="minorHAnsi" w:hAnsiTheme="minorHAnsi"/>
        <w:sz w:val="16"/>
        <w:szCs w:val="16"/>
      </w:rPr>
      <w:t>/2026</w:t>
    </w:r>
    <w:r>
      <w:t xml:space="preserve"> </w:t>
    </w:r>
    <w:r w:rsidR="002B688C">
      <w:tab/>
    </w:r>
    <w:r>
      <w:tab/>
    </w:r>
    <w:r>
      <w:fldChar w:fldCharType="begin"/>
    </w:r>
    <w:r>
      <w:instrText xml:space="preserve"> PAGE   \* MERGEFORMAT </w:instrText>
    </w:r>
    <w:r>
      <w:fldChar w:fldCharType="separate"/>
    </w:r>
    <w: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0B79" w14:textId="77777777" w:rsidR="00C23767" w:rsidRDefault="005A7438">
    <w:pPr>
      <w:tabs>
        <w:tab w:val="center" w:pos="1921"/>
        <w:tab w:val="right" w:pos="10830"/>
      </w:tabs>
      <w:spacing w:after="0" w:line="259" w:lineRule="auto"/>
      <w:ind w:left="0" w:firstLine="0"/>
      <w:jc w:val="left"/>
    </w:pPr>
    <w:r>
      <w:t xml:space="preserve"> </w:t>
    </w:r>
    <w:r>
      <w:tab/>
      <w:t xml:space="preserve">04/08/2026 </w:t>
    </w:r>
    <w:r>
      <w:tab/>
    </w:r>
    <w:r>
      <w:fldChar w:fldCharType="begin"/>
    </w:r>
    <w:r>
      <w:instrText xml:space="preserve"> PAGE   \* MERGEFORMAT </w:instrText>
    </w:r>
    <w:r>
      <w:fldChar w:fldCharType="separate"/>
    </w:r>
    <w: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F2C8" w14:textId="77777777" w:rsidR="005A7438" w:rsidRDefault="005A7438">
      <w:pPr>
        <w:spacing w:after="0" w:line="240" w:lineRule="auto"/>
      </w:pPr>
      <w:r>
        <w:separator/>
      </w:r>
    </w:p>
  </w:footnote>
  <w:footnote w:type="continuationSeparator" w:id="0">
    <w:p w14:paraId="1A633A81" w14:textId="77777777" w:rsidR="005A7438" w:rsidRDefault="005A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B4AA" w14:textId="77777777" w:rsidR="00C23767" w:rsidRDefault="005A7438">
    <w:pPr>
      <w:spacing w:after="31" w:line="259" w:lineRule="auto"/>
      <w:ind w:left="0" w:firstLine="0"/>
      <w:jc w:val="left"/>
    </w:pPr>
    <w:r>
      <w:t xml:space="preserve"> </w:t>
    </w:r>
  </w:p>
  <w:p w14:paraId="5904A085" w14:textId="77777777" w:rsidR="00C23767" w:rsidRDefault="005A7438">
    <w:pPr>
      <w:shd w:val="clear" w:color="auto" w:fill="4F81BD"/>
      <w:spacing w:after="0" w:line="259" w:lineRule="auto"/>
      <w:ind w:left="1408" w:firstLine="0"/>
      <w:jc w:val="center"/>
    </w:pPr>
    <w:r>
      <w:rPr>
        <w:color w:val="FFFFFF"/>
        <w:sz w:val="22"/>
      </w:rPr>
      <w:t xml:space="preserve">PACKETWATCH PROFESSIONAL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42AF" w14:textId="77777777" w:rsidR="00C23767" w:rsidRDefault="005A7438">
    <w:pPr>
      <w:spacing w:after="31" w:line="259" w:lineRule="auto"/>
      <w:ind w:left="0" w:firstLine="0"/>
      <w:jc w:val="left"/>
    </w:pPr>
    <w:r>
      <w:t xml:space="preserve"> </w:t>
    </w:r>
  </w:p>
  <w:p w14:paraId="49FEDB23" w14:textId="233E0539" w:rsidR="00C23767" w:rsidRDefault="00377CDD" w:rsidP="00113465">
    <w:pPr>
      <w:shd w:val="clear" w:color="auto" w:fill="4F81BD"/>
      <w:spacing w:after="0" w:line="259" w:lineRule="auto"/>
      <w:ind w:left="0" w:firstLine="0"/>
      <w:jc w:val="center"/>
    </w:pPr>
    <w:r>
      <w:rPr>
        <w:color w:val="FFFFFF"/>
        <w:sz w:val="22"/>
      </w:rPr>
      <w:t xml:space="preserve">PACKETWATCH WIRESIGHT AND PROFESSIONAL SERVICES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6749" w14:textId="77777777" w:rsidR="00C23767" w:rsidRDefault="005A7438">
    <w:pPr>
      <w:spacing w:after="31" w:line="259" w:lineRule="auto"/>
      <w:ind w:left="0" w:firstLine="0"/>
      <w:jc w:val="left"/>
    </w:pPr>
    <w:r>
      <w:t xml:space="preserve"> </w:t>
    </w:r>
  </w:p>
  <w:p w14:paraId="454E3B47" w14:textId="77777777" w:rsidR="00C23767" w:rsidRDefault="005A7438">
    <w:pPr>
      <w:shd w:val="clear" w:color="auto" w:fill="4F81BD"/>
      <w:spacing w:after="0" w:line="259" w:lineRule="auto"/>
      <w:ind w:left="1408" w:firstLine="0"/>
      <w:jc w:val="center"/>
    </w:pPr>
    <w:r>
      <w:rPr>
        <w:color w:val="FFFFFF"/>
        <w:sz w:val="22"/>
      </w:rPr>
      <w:t xml:space="preserve">PACKETWATCH PROFESSIONAL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6F3"/>
    <w:multiLevelType w:val="hybridMultilevel"/>
    <w:tmpl w:val="D9182CF4"/>
    <w:lvl w:ilvl="0" w:tplc="0FA0D236">
      <w:start w:val="1"/>
      <w:numFmt w:val="bullet"/>
      <w:lvlText w:val="•"/>
      <w:lvlJc w:val="left"/>
      <w:pPr>
        <w:ind w:left="2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5E752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22011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20710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B80B1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203AB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026E5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745492">
      <w:start w:val="1"/>
      <w:numFmt w:val="bullet"/>
      <w:lvlText w:val="o"/>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84D33C">
      <w:start w:val="1"/>
      <w:numFmt w:val="bullet"/>
      <w:lvlText w:val="▪"/>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C33845"/>
    <w:multiLevelType w:val="multilevel"/>
    <w:tmpl w:val="C672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B5612"/>
    <w:multiLevelType w:val="multilevel"/>
    <w:tmpl w:val="7B9A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B30DD"/>
    <w:multiLevelType w:val="multilevel"/>
    <w:tmpl w:val="9E9E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925E4"/>
    <w:multiLevelType w:val="multilevel"/>
    <w:tmpl w:val="C59A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B0857"/>
    <w:multiLevelType w:val="multilevel"/>
    <w:tmpl w:val="3B0C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2627C"/>
    <w:multiLevelType w:val="hybridMultilevel"/>
    <w:tmpl w:val="11C65252"/>
    <w:lvl w:ilvl="0" w:tplc="92CC269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EEA8B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228DF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68B0F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D0C04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26E3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18A72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6EF370">
      <w:start w:val="1"/>
      <w:numFmt w:val="bullet"/>
      <w:lvlText w:val="o"/>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549106">
      <w:start w:val="1"/>
      <w:numFmt w:val="bullet"/>
      <w:lvlText w:val="▪"/>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6B1DBE"/>
    <w:multiLevelType w:val="multilevel"/>
    <w:tmpl w:val="92AE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742DE"/>
    <w:multiLevelType w:val="multilevel"/>
    <w:tmpl w:val="073C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60EDE"/>
    <w:multiLevelType w:val="multilevel"/>
    <w:tmpl w:val="FCEA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72EA6"/>
    <w:multiLevelType w:val="hybridMultilevel"/>
    <w:tmpl w:val="A8822EB6"/>
    <w:lvl w:ilvl="0" w:tplc="5336BAFC">
      <w:start w:val="1"/>
      <w:numFmt w:val="bullet"/>
      <w:lvlText w:val="•"/>
      <w:lvlJc w:val="left"/>
      <w:pPr>
        <w:ind w:left="2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589152">
      <w:start w:val="1"/>
      <w:numFmt w:val="bullet"/>
      <w:lvlText w:val="o"/>
      <w:lvlJc w:val="left"/>
      <w:pPr>
        <w:ind w:left="3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308FBE">
      <w:start w:val="1"/>
      <w:numFmt w:val="bullet"/>
      <w:lvlText w:val="▪"/>
      <w:lvlJc w:val="left"/>
      <w:pPr>
        <w:ind w:left="4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98A740">
      <w:start w:val="1"/>
      <w:numFmt w:val="bullet"/>
      <w:lvlText w:val="•"/>
      <w:lvlJc w:val="left"/>
      <w:pPr>
        <w:ind w:left="5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E4D088">
      <w:start w:val="1"/>
      <w:numFmt w:val="bullet"/>
      <w:lvlText w:val="o"/>
      <w:lvlJc w:val="left"/>
      <w:pPr>
        <w:ind w:left="5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AA0EBC">
      <w:start w:val="1"/>
      <w:numFmt w:val="bullet"/>
      <w:lvlText w:val="▪"/>
      <w:lvlJc w:val="left"/>
      <w:pPr>
        <w:ind w:left="6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44F006">
      <w:start w:val="1"/>
      <w:numFmt w:val="bullet"/>
      <w:lvlText w:val="•"/>
      <w:lvlJc w:val="left"/>
      <w:pPr>
        <w:ind w:left="7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0AD7C2">
      <w:start w:val="1"/>
      <w:numFmt w:val="bullet"/>
      <w:lvlText w:val="o"/>
      <w:lvlJc w:val="left"/>
      <w:pPr>
        <w:ind w:left="7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B604AA">
      <w:start w:val="1"/>
      <w:numFmt w:val="bullet"/>
      <w:lvlText w:val="▪"/>
      <w:lvlJc w:val="left"/>
      <w:pPr>
        <w:ind w:left="8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6C1C2E"/>
    <w:multiLevelType w:val="multilevel"/>
    <w:tmpl w:val="6FC0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57090"/>
    <w:multiLevelType w:val="multilevel"/>
    <w:tmpl w:val="2ACE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F7877"/>
    <w:multiLevelType w:val="multilevel"/>
    <w:tmpl w:val="7CF4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54A90"/>
    <w:multiLevelType w:val="multilevel"/>
    <w:tmpl w:val="7F90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96606E"/>
    <w:multiLevelType w:val="multilevel"/>
    <w:tmpl w:val="65CA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D0155"/>
    <w:multiLevelType w:val="multilevel"/>
    <w:tmpl w:val="AE80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A78F1"/>
    <w:multiLevelType w:val="multilevel"/>
    <w:tmpl w:val="F2A2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60740"/>
    <w:multiLevelType w:val="multilevel"/>
    <w:tmpl w:val="B416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664B3"/>
    <w:multiLevelType w:val="multilevel"/>
    <w:tmpl w:val="CF1A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557E5"/>
    <w:multiLevelType w:val="multilevel"/>
    <w:tmpl w:val="4C62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090CB3"/>
    <w:multiLevelType w:val="multilevel"/>
    <w:tmpl w:val="D006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727B7"/>
    <w:multiLevelType w:val="multilevel"/>
    <w:tmpl w:val="7D04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82B98"/>
    <w:multiLevelType w:val="multilevel"/>
    <w:tmpl w:val="5C82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6C5551"/>
    <w:multiLevelType w:val="multilevel"/>
    <w:tmpl w:val="987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4267F8"/>
    <w:multiLevelType w:val="multilevel"/>
    <w:tmpl w:val="D362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432D2C"/>
    <w:multiLevelType w:val="multilevel"/>
    <w:tmpl w:val="6CCA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BC76C0"/>
    <w:multiLevelType w:val="multilevel"/>
    <w:tmpl w:val="F09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761FDF"/>
    <w:multiLevelType w:val="multilevel"/>
    <w:tmpl w:val="B4AA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1483E"/>
    <w:multiLevelType w:val="multilevel"/>
    <w:tmpl w:val="6A8A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564B3"/>
    <w:multiLevelType w:val="multilevel"/>
    <w:tmpl w:val="EF8C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58604E"/>
    <w:multiLevelType w:val="multilevel"/>
    <w:tmpl w:val="CF1E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9A239B"/>
    <w:multiLevelType w:val="multilevel"/>
    <w:tmpl w:val="441A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1C6C94"/>
    <w:multiLevelType w:val="hybridMultilevel"/>
    <w:tmpl w:val="8062A234"/>
    <w:lvl w:ilvl="0" w:tplc="278EE4BC">
      <w:start w:val="1"/>
      <w:numFmt w:val="bullet"/>
      <w:lvlText w:val="•"/>
      <w:lvlJc w:val="left"/>
      <w:pPr>
        <w:ind w:left="2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4E8B7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C6EC4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9EC09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C6E44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6070C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2E5D3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14E740">
      <w:start w:val="1"/>
      <w:numFmt w:val="bullet"/>
      <w:lvlText w:val="o"/>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A823C0">
      <w:start w:val="1"/>
      <w:numFmt w:val="bullet"/>
      <w:lvlText w:val="▪"/>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BCF5B6D"/>
    <w:multiLevelType w:val="multilevel"/>
    <w:tmpl w:val="3630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AE43CA"/>
    <w:multiLevelType w:val="hybridMultilevel"/>
    <w:tmpl w:val="AC0A8C4C"/>
    <w:lvl w:ilvl="0" w:tplc="A8207C1C">
      <w:start w:val="1"/>
      <w:numFmt w:val="bullet"/>
      <w:lvlText w:val="•"/>
      <w:lvlJc w:val="left"/>
      <w:pPr>
        <w:ind w:left="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C49884">
      <w:start w:val="1"/>
      <w:numFmt w:val="bullet"/>
      <w:lvlText w:val="o"/>
      <w:lvlJc w:val="left"/>
      <w:pPr>
        <w:ind w:left="8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06D6EA">
      <w:start w:val="1"/>
      <w:numFmt w:val="bullet"/>
      <w:lvlText w:val="▪"/>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9E81F0">
      <w:start w:val="1"/>
      <w:numFmt w:val="bullet"/>
      <w:lvlText w:val="•"/>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A89450">
      <w:start w:val="1"/>
      <w:numFmt w:val="bullet"/>
      <w:lvlText w:val="o"/>
      <w:lvlJc w:val="left"/>
      <w:pPr>
        <w:ind w:left="2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44AE6A">
      <w:start w:val="1"/>
      <w:numFmt w:val="bullet"/>
      <w:lvlText w:val="▪"/>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6A129E">
      <w:start w:val="1"/>
      <w:numFmt w:val="bullet"/>
      <w:lvlText w:val="•"/>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A2CEF2">
      <w:start w:val="1"/>
      <w:numFmt w:val="bullet"/>
      <w:lvlText w:val="o"/>
      <w:lvlJc w:val="left"/>
      <w:pPr>
        <w:ind w:left="5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64FDEC">
      <w:start w:val="1"/>
      <w:numFmt w:val="bullet"/>
      <w:lvlText w:val="▪"/>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CF32E2E"/>
    <w:multiLevelType w:val="multilevel"/>
    <w:tmpl w:val="A236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1B3126"/>
    <w:multiLevelType w:val="hybridMultilevel"/>
    <w:tmpl w:val="5BA40F7A"/>
    <w:lvl w:ilvl="0" w:tplc="1D000254">
      <w:start w:val="1"/>
      <w:numFmt w:val="bullet"/>
      <w:lvlText w:val="•"/>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38CD70">
      <w:start w:val="1"/>
      <w:numFmt w:val="bullet"/>
      <w:lvlText w:val="o"/>
      <w:lvlJc w:val="left"/>
      <w:pPr>
        <w:ind w:left="2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C8CE4C">
      <w:start w:val="1"/>
      <w:numFmt w:val="bullet"/>
      <w:lvlText w:val="▪"/>
      <w:lvlJc w:val="left"/>
      <w:pPr>
        <w:ind w:left="3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FC5CAC">
      <w:start w:val="1"/>
      <w:numFmt w:val="bullet"/>
      <w:lvlText w:val="•"/>
      <w:lvlJc w:val="left"/>
      <w:pPr>
        <w:ind w:left="4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922798">
      <w:start w:val="1"/>
      <w:numFmt w:val="bullet"/>
      <w:lvlText w:val="o"/>
      <w:lvlJc w:val="left"/>
      <w:pPr>
        <w:ind w:left="5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6204AC">
      <w:start w:val="1"/>
      <w:numFmt w:val="bullet"/>
      <w:lvlText w:val="▪"/>
      <w:lvlJc w:val="left"/>
      <w:pPr>
        <w:ind w:left="57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384EB8">
      <w:start w:val="1"/>
      <w:numFmt w:val="bullet"/>
      <w:lvlText w:val="•"/>
      <w:lvlJc w:val="left"/>
      <w:pPr>
        <w:ind w:left="6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A64680">
      <w:start w:val="1"/>
      <w:numFmt w:val="bullet"/>
      <w:lvlText w:val="o"/>
      <w:lvlJc w:val="left"/>
      <w:pPr>
        <w:ind w:left="7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63F66">
      <w:start w:val="1"/>
      <w:numFmt w:val="bullet"/>
      <w:lvlText w:val="▪"/>
      <w:lvlJc w:val="left"/>
      <w:pPr>
        <w:ind w:left="79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4C92FE4"/>
    <w:multiLevelType w:val="multilevel"/>
    <w:tmpl w:val="0CF2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360625"/>
    <w:multiLevelType w:val="multilevel"/>
    <w:tmpl w:val="CD88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1906EE"/>
    <w:multiLevelType w:val="multilevel"/>
    <w:tmpl w:val="3540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D01E3A"/>
    <w:multiLevelType w:val="multilevel"/>
    <w:tmpl w:val="7FAE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8B15D0"/>
    <w:multiLevelType w:val="multilevel"/>
    <w:tmpl w:val="DDB2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90AE9"/>
    <w:multiLevelType w:val="hybridMultilevel"/>
    <w:tmpl w:val="6BF6182C"/>
    <w:lvl w:ilvl="0" w:tplc="C370322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228CE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40A48C">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E041F2">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8428A0">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9684D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FA5652">
      <w:start w:val="1"/>
      <w:numFmt w:val="bullet"/>
      <w:lvlText w:val="•"/>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4E041C">
      <w:start w:val="1"/>
      <w:numFmt w:val="bullet"/>
      <w:lvlText w:val="o"/>
      <w:lvlJc w:val="left"/>
      <w:pPr>
        <w:ind w:left="7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FA9972">
      <w:start w:val="1"/>
      <w:numFmt w:val="bullet"/>
      <w:lvlText w:val="▪"/>
      <w:lvlJc w:val="left"/>
      <w:pPr>
        <w:ind w:left="8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39C7FC3"/>
    <w:multiLevelType w:val="multilevel"/>
    <w:tmpl w:val="3C58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0E5F55"/>
    <w:multiLevelType w:val="hybridMultilevel"/>
    <w:tmpl w:val="2C447F68"/>
    <w:lvl w:ilvl="0" w:tplc="17E27E4A">
      <w:start w:val="1"/>
      <w:numFmt w:val="bullet"/>
      <w:lvlText w:val="•"/>
      <w:lvlJc w:val="left"/>
      <w:pPr>
        <w:ind w:left="4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8610B4">
      <w:start w:val="1"/>
      <w:numFmt w:val="bullet"/>
      <w:lvlText w:val="o"/>
      <w:lvlJc w:val="left"/>
      <w:pPr>
        <w:ind w:left="49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6C0E2">
      <w:start w:val="1"/>
      <w:numFmt w:val="bullet"/>
      <w:lvlText w:val="▪"/>
      <w:lvlJc w:val="left"/>
      <w:pPr>
        <w:ind w:left="5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DAF77E">
      <w:start w:val="1"/>
      <w:numFmt w:val="bullet"/>
      <w:lvlText w:val="•"/>
      <w:lvlJc w:val="left"/>
      <w:pPr>
        <w:ind w:left="6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145622">
      <w:start w:val="1"/>
      <w:numFmt w:val="bullet"/>
      <w:lvlText w:val="o"/>
      <w:lvlJc w:val="left"/>
      <w:pPr>
        <w:ind w:left="7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3C7B10">
      <w:start w:val="1"/>
      <w:numFmt w:val="bullet"/>
      <w:lvlText w:val="▪"/>
      <w:lvlJc w:val="left"/>
      <w:pPr>
        <w:ind w:left="7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120260">
      <w:start w:val="1"/>
      <w:numFmt w:val="bullet"/>
      <w:lvlText w:val="•"/>
      <w:lvlJc w:val="left"/>
      <w:pPr>
        <w:ind w:left="8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58FA80">
      <w:start w:val="1"/>
      <w:numFmt w:val="bullet"/>
      <w:lvlText w:val="o"/>
      <w:lvlJc w:val="left"/>
      <w:pPr>
        <w:ind w:left="9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C2BE4A">
      <w:start w:val="1"/>
      <w:numFmt w:val="bullet"/>
      <w:lvlText w:val="▪"/>
      <w:lvlJc w:val="left"/>
      <w:pPr>
        <w:ind w:left="100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8B05B7A"/>
    <w:multiLevelType w:val="multilevel"/>
    <w:tmpl w:val="5648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2E62BE"/>
    <w:multiLevelType w:val="hybridMultilevel"/>
    <w:tmpl w:val="B9D23DCE"/>
    <w:lvl w:ilvl="0" w:tplc="95C67B54">
      <w:start w:val="1"/>
      <w:numFmt w:val="bullet"/>
      <w:lvlText w:val="•"/>
      <w:lvlJc w:val="left"/>
      <w:pPr>
        <w:ind w:left="3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24F9B6">
      <w:start w:val="1"/>
      <w:numFmt w:val="bullet"/>
      <w:lvlText w:val="o"/>
      <w:lvlJc w:val="left"/>
      <w:pPr>
        <w:ind w:left="42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DE4CC4">
      <w:start w:val="1"/>
      <w:numFmt w:val="bullet"/>
      <w:lvlText w:val="▪"/>
      <w:lvlJc w:val="left"/>
      <w:pPr>
        <w:ind w:left="50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A65960">
      <w:start w:val="1"/>
      <w:numFmt w:val="bullet"/>
      <w:lvlText w:val="•"/>
      <w:lvlJc w:val="left"/>
      <w:pPr>
        <w:ind w:left="5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86ACE6">
      <w:start w:val="1"/>
      <w:numFmt w:val="bullet"/>
      <w:lvlText w:val="o"/>
      <w:lvlJc w:val="left"/>
      <w:pPr>
        <w:ind w:left="6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808918">
      <w:start w:val="1"/>
      <w:numFmt w:val="bullet"/>
      <w:lvlText w:val="▪"/>
      <w:lvlJc w:val="left"/>
      <w:pPr>
        <w:ind w:left="7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9A3106">
      <w:start w:val="1"/>
      <w:numFmt w:val="bullet"/>
      <w:lvlText w:val="•"/>
      <w:lvlJc w:val="left"/>
      <w:pPr>
        <w:ind w:left="7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B69ED2">
      <w:start w:val="1"/>
      <w:numFmt w:val="bullet"/>
      <w:lvlText w:val="o"/>
      <w:lvlJc w:val="left"/>
      <w:pPr>
        <w:ind w:left="8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246D82">
      <w:start w:val="1"/>
      <w:numFmt w:val="bullet"/>
      <w:lvlText w:val="▪"/>
      <w:lvlJc w:val="left"/>
      <w:pPr>
        <w:ind w:left="9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1632146">
    <w:abstractNumId w:val="6"/>
  </w:num>
  <w:num w:numId="2" w16cid:durableId="1461076264">
    <w:abstractNumId w:val="33"/>
  </w:num>
  <w:num w:numId="3" w16cid:durableId="894900646">
    <w:abstractNumId w:val="35"/>
  </w:num>
  <w:num w:numId="4" w16cid:durableId="870075694">
    <w:abstractNumId w:val="10"/>
  </w:num>
  <w:num w:numId="5" w16cid:durableId="432020850">
    <w:abstractNumId w:val="37"/>
  </w:num>
  <w:num w:numId="6" w16cid:durableId="1449861522">
    <w:abstractNumId w:val="43"/>
  </w:num>
  <w:num w:numId="7" w16cid:durableId="1319190431">
    <w:abstractNumId w:val="45"/>
  </w:num>
  <w:num w:numId="8" w16cid:durableId="242566369">
    <w:abstractNumId w:val="47"/>
  </w:num>
  <w:num w:numId="9" w16cid:durableId="1666860422">
    <w:abstractNumId w:val="0"/>
  </w:num>
  <w:num w:numId="10" w16cid:durableId="1560550452">
    <w:abstractNumId w:val="5"/>
  </w:num>
  <w:num w:numId="11" w16cid:durableId="815299339">
    <w:abstractNumId w:val="18"/>
  </w:num>
  <w:num w:numId="12" w16cid:durableId="1485127345">
    <w:abstractNumId w:val="42"/>
  </w:num>
  <w:num w:numId="13" w16cid:durableId="402720794">
    <w:abstractNumId w:val="4"/>
  </w:num>
  <w:num w:numId="14" w16cid:durableId="2076122318">
    <w:abstractNumId w:val="32"/>
  </w:num>
  <w:num w:numId="15" w16cid:durableId="1345136566">
    <w:abstractNumId w:val="11"/>
  </w:num>
  <w:num w:numId="16" w16cid:durableId="407075617">
    <w:abstractNumId w:val="31"/>
  </w:num>
  <w:num w:numId="17" w16cid:durableId="2142186202">
    <w:abstractNumId w:val="38"/>
  </w:num>
  <w:num w:numId="18" w16cid:durableId="1491796394">
    <w:abstractNumId w:val="20"/>
  </w:num>
  <w:num w:numId="19" w16cid:durableId="735326348">
    <w:abstractNumId w:val="39"/>
  </w:num>
  <w:num w:numId="20" w16cid:durableId="158935047">
    <w:abstractNumId w:val="27"/>
  </w:num>
  <w:num w:numId="21" w16cid:durableId="685789894">
    <w:abstractNumId w:val="19"/>
  </w:num>
  <w:num w:numId="22" w16cid:durableId="1215459494">
    <w:abstractNumId w:val="13"/>
  </w:num>
  <w:num w:numId="23" w16cid:durableId="1718629966">
    <w:abstractNumId w:val="21"/>
  </w:num>
  <w:num w:numId="24" w16cid:durableId="1725786083">
    <w:abstractNumId w:val="36"/>
  </w:num>
  <w:num w:numId="25" w16cid:durableId="651183161">
    <w:abstractNumId w:val="46"/>
  </w:num>
  <w:num w:numId="26" w16cid:durableId="357312447">
    <w:abstractNumId w:val="2"/>
  </w:num>
  <w:num w:numId="27" w16cid:durableId="2041660845">
    <w:abstractNumId w:val="14"/>
  </w:num>
  <w:num w:numId="28" w16cid:durableId="1232547256">
    <w:abstractNumId w:val="28"/>
  </w:num>
  <w:num w:numId="29" w16cid:durableId="212428008">
    <w:abstractNumId w:val="8"/>
  </w:num>
  <w:num w:numId="30" w16cid:durableId="587037326">
    <w:abstractNumId w:val="34"/>
  </w:num>
  <w:num w:numId="31" w16cid:durableId="1338800479">
    <w:abstractNumId w:val="41"/>
  </w:num>
  <w:num w:numId="32" w16cid:durableId="1450275346">
    <w:abstractNumId w:val="3"/>
  </w:num>
  <w:num w:numId="33" w16cid:durableId="1239052302">
    <w:abstractNumId w:val="29"/>
  </w:num>
  <w:num w:numId="34" w16cid:durableId="154343928">
    <w:abstractNumId w:val="12"/>
  </w:num>
  <w:num w:numId="35" w16cid:durableId="1780373839">
    <w:abstractNumId w:val="30"/>
  </w:num>
  <w:num w:numId="36" w16cid:durableId="895553024">
    <w:abstractNumId w:val="7"/>
  </w:num>
  <w:num w:numId="37" w16cid:durableId="1839271924">
    <w:abstractNumId w:val="26"/>
  </w:num>
  <w:num w:numId="38" w16cid:durableId="1029454388">
    <w:abstractNumId w:val="22"/>
  </w:num>
  <w:num w:numId="39" w16cid:durableId="862792822">
    <w:abstractNumId w:val="15"/>
  </w:num>
  <w:num w:numId="40" w16cid:durableId="475222590">
    <w:abstractNumId w:val="17"/>
  </w:num>
  <w:num w:numId="41" w16cid:durableId="1559055461">
    <w:abstractNumId w:val="40"/>
  </w:num>
  <w:num w:numId="42" w16cid:durableId="1886788726">
    <w:abstractNumId w:val="9"/>
  </w:num>
  <w:num w:numId="43" w16cid:durableId="1177841965">
    <w:abstractNumId w:val="16"/>
  </w:num>
  <w:num w:numId="44" w16cid:durableId="465272309">
    <w:abstractNumId w:val="23"/>
  </w:num>
  <w:num w:numId="45" w16cid:durableId="1711807885">
    <w:abstractNumId w:val="44"/>
  </w:num>
  <w:num w:numId="46" w16cid:durableId="1741708706">
    <w:abstractNumId w:val="25"/>
  </w:num>
  <w:num w:numId="47" w16cid:durableId="484442204">
    <w:abstractNumId w:val="1"/>
  </w:num>
  <w:num w:numId="48" w16cid:durableId="2508968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67"/>
    <w:rsid w:val="00015216"/>
    <w:rsid w:val="00113465"/>
    <w:rsid w:val="00157F5C"/>
    <w:rsid w:val="001E4554"/>
    <w:rsid w:val="00243B9A"/>
    <w:rsid w:val="00256415"/>
    <w:rsid w:val="00291E4F"/>
    <w:rsid w:val="002B688C"/>
    <w:rsid w:val="00346779"/>
    <w:rsid w:val="003777D4"/>
    <w:rsid w:val="00377CDD"/>
    <w:rsid w:val="00383A19"/>
    <w:rsid w:val="003E12F0"/>
    <w:rsid w:val="005752B9"/>
    <w:rsid w:val="005A7438"/>
    <w:rsid w:val="00666727"/>
    <w:rsid w:val="00695873"/>
    <w:rsid w:val="006F077C"/>
    <w:rsid w:val="006F6A81"/>
    <w:rsid w:val="009B18CA"/>
    <w:rsid w:val="00A46761"/>
    <w:rsid w:val="00AA4FD4"/>
    <w:rsid w:val="00B167F5"/>
    <w:rsid w:val="00C23767"/>
    <w:rsid w:val="00C33D86"/>
    <w:rsid w:val="00C52E66"/>
    <w:rsid w:val="00CA7362"/>
    <w:rsid w:val="00CE033E"/>
    <w:rsid w:val="00D6609D"/>
    <w:rsid w:val="00DF52FA"/>
    <w:rsid w:val="00E66AB8"/>
    <w:rsid w:val="00F04182"/>
    <w:rsid w:val="00F102F2"/>
    <w:rsid w:val="00F82EBC"/>
    <w:rsid w:val="00FC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E0BEB"/>
  <w15:docId w15:val="{64979E79-4C7A-0042-915A-5C4F2233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330" w:lineRule="auto"/>
      <w:ind w:left="1429" w:hanging="8"/>
      <w:jc w:val="both"/>
    </w:pPr>
    <w:rPr>
      <w:rFonts w:ascii="Arial" w:eastAsia="Arial" w:hAnsi="Arial" w:cs="Times New Roman"/>
      <w:color w:val="000000"/>
      <w:sz w:val="20"/>
      <w:lang w:val="en" w:eastAsia="en"/>
    </w:rPr>
  </w:style>
  <w:style w:type="paragraph" w:styleId="Heading1">
    <w:name w:val="heading 1"/>
    <w:next w:val="Normal"/>
    <w:link w:val="Heading1Char"/>
    <w:uiPriority w:val="9"/>
    <w:qFormat/>
    <w:pPr>
      <w:keepNext/>
      <w:keepLines/>
      <w:spacing w:after="186" w:line="259" w:lineRule="auto"/>
      <w:ind w:left="1450" w:hanging="10"/>
      <w:outlineLvl w:val="0"/>
    </w:pPr>
    <w:rPr>
      <w:rFonts w:ascii="Arial" w:eastAsia="Arial" w:hAnsi="Arial" w:cs="Arial"/>
      <w:b/>
      <w:color w:val="2E5395"/>
      <w:sz w:val="28"/>
    </w:rPr>
  </w:style>
  <w:style w:type="paragraph" w:styleId="Heading2">
    <w:name w:val="heading 2"/>
    <w:next w:val="Normal"/>
    <w:link w:val="Heading2Char"/>
    <w:uiPriority w:val="9"/>
    <w:unhideWhenUsed/>
    <w:qFormat/>
    <w:pPr>
      <w:keepNext/>
      <w:keepLines/>
      <w:spacing w:after="276" w:line="259" w:lineRule="auto"/>
      <w:ind w:left="1450" w:hanging="10"/>
      <w:outlineLvl w:val="1"/>
    </w:pPr>
    <w:rPr>
      <w:rFonts w:ascii="Arial" w:eastAsia="Arial" w:hAnsi="Arial" w:cs="Arial"/>
      <w:b/>
      <w:color w:val="2E5395"/>
    </w:rPr>
  </w:style>
  <w:style w:type="paragraph" w:styleId="Heading3">
    <w:name w:val="heading 3"/>
    <w:next w:val="Normal"/>
    <w:link w:val="Heading3Char"/>
    <w:uiPriority w:val="9"/>
    <w:unhideWhenUsed/>
    <w:qFormat/>
    <w:pPr>
      <w:keepNext/>
      <w:keepLines/>
      <w:spacing w:after="45" w:line="259" w:lineRule="auto"/>
      <w:ind w:left="1450" w:hanging="10"/>
      <w:outlineLvl w:val="2"/>
    </w:pPr>
    <w:rPr>
      <w:rFonts w:ascii="Trebuchet MS" w:eastAsia="Trebuchet MS" w:hAnsi="Trebuchet MS" w:cs="Trebuchet MS"/>
      <w:b/>
      <w:i/>
      <w:color w:val="2E539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rebuchet MS" w:eastAsia="Trebuchet MS" w:hAnsi="Trebuchet MS" w:cs="Trebuchet MS"/>
      <w:b/>
      <w:i/>
      <w:color w:val="2E5395"/>
      <w:sz w:val="22"/>
    </w:rPr>
  </w:style>
  <w:style w:type="character" w:customStyle="1" w:styleId="Heading2Char">
    <w:name w:val="Heading 2 Char"/>
    <w:link w:val="Heading2"/>
    <w:uiPriority w:val="9"/>
    <w:rPr>
      <w:rFonts w:ascii="Arial" w:eastAsia="Arial" w:hAnsi="Arial" w:cs="Arial"/>
      <w:b/>
      <w:color w:val="2E5395"/>
      <w:sz w:val="24"/>
    </w:rPr>
  </w:style>
  <w:style w:type="character" w:customStyle="1" w:styleId="Heading1Char">
    <w:name w:val="Heading 1 Char"/>
    <w:link w:val="Heading1"/>
    <w:uiPriority w:val="9"/>
    <w:rPr>
      <w:rFonts w:ascii="Arial" w:eastAsia="Arial" w:hAnsi="Arial" w:cs="Arial"/>
      <w:b/>
      <w:color w:val="2E5395"/>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46761"/>
    <w:pPr>
      <w:ind w:left="720"/>
      <w:contextualSpacing/>
    </w:pPr>
  </w:style>
  <w:style w:type="paragraph" w:styleId="Title">
    <w:name w:val="Title"/>
    <w:basedOn w:val="Normal"/>
    <w:link w:val="TitleChar"/>
    <w:uiPriority w:val="10"/>
    <w:qFormat/>
    <w:rsid w:val="00AA4FD4"/>
    <w:pPr>
      <w:spacing w:before="100" w:beforeAutospacing="1" w:after="100" w:afterAutospacing="1" w:line="240" w:lineRule="auto"/>
      <w:ind w:left="0" w:firstLine="0"/>
      <w:jc w:val="left"/>
    </w:pPr>
    <w:rPr>
      <w:rFonts w:ascii="Times New Roman" w:eastAsiaTheme="minorEastAsia" w:hAnsi="Times New Roman"/>
      <w:color w:val="auto"/>
      <w:kern w:val="0"/>
      <w:sz w:val="24"/>
      <w:lang w:val="en-US" w:eastAsia="en-US"/>
      <w14:ligatures w14:val="none"/>
    </w:rPr>
  </w:style>
  <w:style w:type="character" w:customStyle="1" w:styleId="TitleChar">
    <w:name w:val="Title Char"/>
    <w:basedOn w:val="DefaultParagraphFont"/>
    <w:link w:val="Title"/>
    <w:uiPriority w:val="10"/>
    <w:rsid w:val="00AA4FD4"/>
    <w:rPr>
      <w:rFonts w:ascii="Times New Roman" w:hAnsi="Times New Roman" w:cs="Times New Roman"/>
      <w:kern w:val="0"/>
      <w14:ligatures w14:val="none"/>
    </w:rPr>
  </w:style>
  <w:style w:type="paragraph" w:styleId="Subtitle">
    <w:name w:val="Subtitle"/>
    <w:basedOn w:val="Normal"/>
    <w:link w:val="SubtitleChar"/>
    <w:uiPriority w:val="11"/>
    <w:qFormat/>
    <w:rsid w:val="00AA4FD4"/>
    <w:pPr>
      <w:spacing w:before="100" w:beforeAutospacing="1" w:after="100" w:afterAutospacing="1" w:line="240" w:lineRule="auto"/>
      <w:ind w:left="0" w:firstLine="0"/>
      <w:jc w:val="left"/>
    </w:pPr>
    <w:rPr>
      <w:rFonts w:ascii="Times New Roman" w:eastAsiaTheme="minorEastAsia" w:hAnsi="Times New Roman"/>
      <w:color w:val="auto"/>
      <w:kern w:val="0"/>
      <w:sz w:val="24"/>
      <w:lang w:val="en-US" w:eastAsia="en-US"/>
      <w14:ligatures w14:val="none"/>
    </w:rPr>
  </w:style>
  <w:style w:type="character" w:customStyle="1" w:styleId="SubtitleChar">
    <w:name w:val="Subtitle Char"/>
    <w:basedOn w:val="DefaultParagraphFont"/>
    <w:link w:val="Subtitle"/>
    <w:uiPriority w:val="11"/>
    <w:rsid w:val="00AA4FD4"/>
    <w:rPr>
      <w:rFonts w:ascii="Times New Roman" w:hAnsi="Times New Roman" w:cs="Times New Roman"/>
      <w:kern w:val="0"/>
      <w14:ligatures w14:val="none"/>
    </w:rPr>
  </w:style>
  <w:style w:type="paragraph" w:styleId="TOCHeading">
    <w:name w:val="TOC Heading"/>
    <w:basedOn w:val="Heading1"/>
    <w:next w:val="Normal"/>
    <w:uiPriority w:val="39"/>
    <w:unhideWhenUsed/>
    <w:qFormat/>
    <w:rsid w:val="00015216"/>
    <w:pPr>
      <w:spacing w:before="480" w:after="0" w:line="276" w:lineRule="auto"/>
      <w:ind w:left="0" w:firstLine="0"/>
      <w:outlineLvl w:val="9"/>
    </w:pPr>
    <w:rPr>
      <w:rFonts w:asciiTheme="majorHAnsi" w:eastAsiaTheme="majorEastAsia" w:hAnsiTheme="majorHAnsi" w:cstheme="majorBidi"/>
      <w:bCs/>
      <w:color w:val="0F4761" w:themeColor="accent1" w:themeShade="BF"/>
      <w:kern w:val="0"/>
      <w:szCs w:val="28"/>
      <w14:ligatures w14:val="none"/>
    </w:rPr>
  </w:style>
  <w:style w:type="paragraph" w:styleId="TOC1">
    <w:name w:val="toc 1"/>
    <w:basedOn w:val="Normal"/>
    <w:next w:val="Normal"/>
    <w:autoRedefine/>
    <w:uiPriority w:val="39"/>
    <w:unhideWhenUsed/>
    <w:rsid w:val="00015216"/>
    <w:pPr>
      <w:spacing w:before="120" w:after="0"/>
      <w:ind w:left="0"/>
      <w:jc w:val="left"/>
    </w:pPr>
    <w:rPr>
      <w:rFonts w:asciiTheme="minorHAnsi" w:hAnsiTheme="minorHAnsi"/>
      <w:b/>
      <w:bCs/>
      <w:i/>
      <w:iCs/>
      <w:sz w:val="24"/>
    </w:rPr>
  </w:style>
  <w:style w:type="paragraph" w:styleId="TOC2">
    <w:name w:val="toc 2"/>
    <w:basedOn w:val="Normal"/>
    <w:next w:val="Normal"/>
    <w:autoRedefine/>
    <w:uiPriority w:val="39"/>
    <w:unhideWhenUsed/>
    <w:rsid w:val="00015216"/>
    <w:pPr>
      <w:spacing w:before="120" w:after="0"/>
      <w:ind w:left="200"/>
      <w:jc w:val="left"/>
    </w:pPr>
    <w:rPr>
      <w:rFonts w:asciiTheme="minorHAnsi" w:hAnsiTheme="minorHAnsi"/>
      <w:b/>
      <w:bCs/>
      <w:sz w:val="22"/>
      <w:szCs w:val="22"/>
    </w:rPr>
  </w:style>
  <w:style w:type="paragraph" w:styleId="TOC3">
    <w:name w:val="toc 3"/>
    <w:basedOn w:val="Normal"/>
    <w:next w:val="Normal"/>
    <w:autoRedefine/>
    <w:uiPriority w:val="39"/>
    <w:unhideWhenUsed/>
    <w:rsid w:val="00015216"/>
    <w:pPr>
      <w:spacing w:after="0"/>
      <w:ind w:left="400"/>
      <w:jc w:val="left"/>
    </w:pPr>
    <w:rPr>
      <w:rFonts w:asciiTheme="minorHAnsi" w:hAnsiTheme="minorHAnsi"/>
      <w:szCs w:val="20"/>
    </w:rPr>
  </w:style>
  <w:style w:type="character" w:styleId="Hyperlink">
    <w:name w:val="Hyperlink"/>
    <w:basedOn w:val="DefaultParagraphFont"/>
    <w:uiPriority w:val="99"/>
    <w:unhideWhenUsed/>
    <w:rsid w:val="00015216"/>
    <w:rPr>
      <w:color w:val="467886" w:themeColor="hyperlink"/>
      <w:u w:val="single"/>
    </w:rPr>
  </w:style>
  <w:style w:type="paragraph" w:styleId="TOC4">
    <w:name w:val="toc 4"/>
    <w:basedOn w:val="Normal"/>
    <w:next w:val="Normal"/>
    <w:autoRedefine/>
    <w:uiPriority w:val="39"/>
    <w:semiHidden/>
    <w:unhideWhenUsed/>
    <w:rsid w:val="00015216"/>
    <w:pPr>
      <w:spacing w:after="0"/>
      <w:ind w:left="600"/>
      <w:jc w:val="left"/>
    </w:pPr>
    <w:rPr>
      <w:rFonts w:asciiTheme="minorHAnsi" w:hAnsiTheme="minorHAnsi"/>
      <w:szCs w:val="20"/>
    </w:rPr>
  </w:style>
  <w:style w:type="paragraph" w:styleId="TOC5">
    <w:name w:val="toc 5"/>
    <w:basedOn w:val="Normal"/>
    <w:next w:val="Normal"/>
    <w:autoRedefine/>
    <w:uiPriority w:val="39"/>
    <w:semiHidden/>
    <w:unhideWhenUsed/>
    <w:rsid w:val="00015216"/>
    <w:pPr>
      <w:spacing w:after="0"/>
      <w:ind w:left="800"/>
      <w:jc w:val="left"/>
    </w:pPr>
    <w:rPr>
      <w:rFonts w:asciiTheme="minorHAnsi" w:hAnsiTheme="minorHAnsi"/>
      <w:szCs w:val="20"/>
    </w:rPr>
  </w:style>
  <w:style w:type="paragraph" w:styleId="TOC6">
    <w:name w:val="toc 6"/>
    <w:basedOn w:val="Normal"/>
    <w:next w:val="Normal"/>
    <w:autoRedefine/>
    <w:uiPriority w:val="39"/>
    <w:semiHidden/>
    <w:unhideWhenUsed/>
    <w:rsid w:val="00015216"/>
    <w:pPr>
      <w:spacing w:after="0"/>
      <w:ind w:left="1000"/>
      <w:jc w:val="left"/>
    </w:pPr>
    <w:rPr>
      <w:rFonts w:asciiTheme="minorHAnsi" w:hAnsiTheme="minorHAnsi"/>
      <w:szCs w:val="20"/>
    </w:rPr>
  </w:style>
  <w:style w:type="paragraph" w:styleId="TOC7">
    <w:name w:val="toc 7"/>
    <w:basedOn w:val="Normal"/>
    <w:next w:val="Normal"/>
    <w:autoRedefine/>
    <w:uiPriority w:val="39"/>
    <w:semiHidden/>
    <w:unhideWhenUsed/>
    <w:rsid w:val="00015216"/>
    <w:pPr>
      <w:spacing w:after="0"/>
      <w:ind w:left="1200"/>
      <w:jc w:val="left"/>
    </w:pPr>
    <w:rPr>
      <w:rFonts w:asciiTheme="minorHAnsi" w:hAnsiTheme="minorHAnsi"/>
      <w:szCs w:val="20"/>
    </w:rPr>
  </w:style>
  <w:style w:type="paragraph" w:styleId="TOC8">
    <w:name w:val="toc 8"/>
    <w:basedOn w:val="Normal"/>
    <w:next w:val="Normal"/>
    <w:autoRedefine/>
    <w:uiPriority w:val="39"/>
    <w:semiHidden/>
    <w:unhideWhenUsed/>
    <w:rsid w:val="00015216"/>
    <w:pPr>
      <w:spacing w:after="0"/>
      <w:ind w:left="1400"/>
      <w:jc w:val="left"/>
    </w:pPr>
    <w:rPr>
      <w:rFonts w:asciiTheme="minorHAnsi" w:hAnsiTheme="minorHAnsi"/>
      <w:szCs w:val="20"/>
    </w:rPr>
  </w:style>
  <w:style w:type="paragraph" w:styleId="TOC9">
    <w:name w:val="toc 9"/>
    <w:basedOn w:val="Normal"/>
    <w:next w:val="Normal"/>
    <w:autoRedefine/>
    <w:uiPriority w:val="39"/>
    <w:semiHidden/>
    <w:unhideWhenUsed/>
    <w:rsid w:val="00015216"/>
    <w:pPr>
      <w:spacing w:after="0"/>
      <w:ind w:left="1600"/>
      <w:jc w:val="left"/>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68AB19045CF847B0BCE0C2DF8DDDB5" ma:contentTypeVersion="12" ma:contentTypeDescription="Create a new document." ma:contentTypeScope="" ma:versionID="bb87793a28d4b3ee71cf03ad8441e7b0">
  <xsd:schema xmlns:xsd="http://www.w3.org/2001/XMLSchema" xmlns:xs="http://www.w3.org/2001/XMLSchema" xmlns:p="http://schemas.microsoft.com/office/2006/metadata/properties" xmlns:ns2="169e96ba-38ca-48a3-b73c-3837c4a27b62" xmlns:ns3="f0811182-bcf7-4cff-96fe-7049bad57108" targetNamespace="http://schemas.microsoft.com/office/2006/metadata/properties" ma:root="true" ma:fieldsID="6b7cce5564fdb40ff1d39797ccc1fbdc" ns2:_="" ns3:_="">
    <xsd:import namespace="169e96ba-38ca-48a3-b73c-3837c4a27b62"/>
    <xsd:import namespace="f0811182-bcf7-4cff-96fe-7049bad57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e96ba-38ca-48a3-b73c-3837c4a27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900fef-d7f9-4f30-823c-a76da1cc375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811182-bcf7-4cff-96fe-7049bad571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a86706-9d8b-44cf-b500-c246c3a9c4be}" ma:internalName="TaxCatchAll" ma:showField="CatchAllData" ma:web="f0811182-bcf7-4cff-96fe-7049bad57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9e96ba-38ca-48a3-b73c-3837c4a27b62">
      <Terms xmlns="http://schemas.microsoft.com/office/infopath/2007/PartnerControls"/>
    </lcf76f155ced4ddcb4097134ff3c332f>
    <TaxCatchAll xmlns="f0811182-bcf7-4cff-96fe-7049bad57108" xsi:nil="true"/>
  </documentManagement>
</p:properties>
</file>

<file path=customXml/itemProps1.xml><?xml version="1.0" encoding="utf-8"?>
<ds:datastoreItem xmlns:ds="http://schemas.openxmlformats.org/officeDocument/2006/customXml" ds:itemID="{5520F0BC-21A7-8D4A-AC01-632D046CA750}">
  <ds:schemaRefs>
    <ds:schemaRef ds:uri="http://schemas.openxmlformats.org/officeDocument/2006/bibliography"/>
  </ds:schemaRefs>
</ds:datastoreItem>
</file>

<file path=customXml/itemProps2.xml><?xml version="1.0" encoding="utf-8"?>
<ds:datastoreItem xmlns:ds="http://schemas.openxmlformats.org/officeDocument/2006/customXml" ds:itemID="{F31B39AA-3F73-450A-9484-F7C9CA7AC0A7}"/>
</file>

<file path=customXml/itemProps3.xml><?xml version="1.0" encoding="utf-8"?>
<ds:datastoreItem xmlns:ds="http://schemas.openxmlformats.org/officeDocument/2006/customXml" ds:itemID="{0E82730B-DB34-42C5-B1F2-3B2B85D56EF9}"/>
</file>

<file path=customXml/itemProps4.xml><?xml version="1.0" encoding="utf-8"?>
<ds:datastoreItem xmlns:ds="http://schemas.openxmlformats.org/officeDocument/2006/customXml" ds:itemID="{0AF89337-2857-49A5-BCEC-5C4D1715AF5D}"/>
</file>

<file path=docProps/app.xml><?xml version="1.0" encoding="utf-8"?>
<Properties xmlns="http://schemas.openxmlformats.org/officeDocument/2006/extended-properties" xmlns:vt="http://schemas.openxmlformats.org/officeDocument/2006/docPropsVTypes">
  <Template>Normal</Template>
  <TotalTime>0</TotalTime>
  <Pages>1</Pages>
  <Words>9294</Words>
  <Characters>52980</Characters>
  <Application>Microsoft Office Word</Application>
  <DocSecurity>4</DocSecurity>
  <Lines>441</Lines>
  <Paragraphs>124</Paragraphs>
  <ScaleCrop>false</ScaleCrop>
  <Company/>
  <LinksUpToDate>false</LinksUpToDate>
  <CharactersWithSpaces>62150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PacketWatch Professional Services</dc:title>
  <dc:subject/>
  <dc:creator>Gary Williams</dc:creator>
  <cp:keywords/>
  <cp:lastModifiedBy>Sean McGovern</cp:lastModifiedBy>
  <cp:revision>2</cp:revision>
  <dcterms:created xsi:type="dcterms:W3CDTF">2026-06-22T21:20:00Z</dcterms:created>
  <dcterms:modified xsi:type="dcterms:W3CDTF">2026-06-22T21:20:00Z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8b045-3c39-4377-864e-a4927962e1f4_Enabled">
    <vt:lpwstr>true</vt:lpwstr>
  </property>
  <property fmtid="{D5CDD505-2E9C-101B-9397-08002B2CF9AE}" pid="3" name="MSIP_Label_b4f8b045-3c39-4377-864e-a4927962e1f4_SetDate">
    <vt:lpwstr>2026-06-15T19:03:43Z</vt:lpwstr>
  </property>
  <property fmtid="{D5CDD505-2E9C-101B-9397-08002B2CF9AE}" pid="4" name="MSIP_Label_b4f8b045-3c39-4377-864e-a4927962e1f4_Method">
    <vt:lpwstr>Standard</vt:lpwstr>
  </property>
  <property fmtid="{D5CDD505-2E9C-101B-9397-08002B2CF9AE}" pid="5" name="MSIP_Label_b4f8b045-3c39-4377-864e-a4927962e1f4_Name">
    <vt:lpwstr>Internal Use Only</vt:lpwstr>
  </property>
  <property fmtid="{D5CDD505-2E9C-101B-9397-08002B2CF9AE}" pid="6" name="MSIP_Label_b4f8b045-3c39-4377-864e-a4927962e1f4_SiteId">
    <vt:lpwstr>629f196d-7725-44cb-93db-7b1db1038a97</vt:lpwstr>
  </property>
  <property fmtid="{D5CDD505-2E9C-101B-9397-08002B2CF9AE}" pid="7" name="MSIP_Label_b4f8b045-3c39-4377-864e-a4927962e1f4_ActionId">
    <vt:lpwstr>c46cd5f0-7af3-457b-a73d-16102dadc92e</vt:lpwstr>
  </property>
  <property fmtid="{D5CDD505-2E9C-101B-9397-08002B2CF9AE}" pid="8" name="MSIP_Label_b4f8b045-3c39-4377-864e-a4927962e1f4_ContentBits">
    <vt:lpwstr>0</vt:lpwstr>
  </property>
  <property fmtid="{D5CDD505-2E9C-101B-9397-08002B2CF9AE}" pid="9" name="MSIP_Label_b4f8b045-3c39-4377-864e-a4927962e1f4_Tag">
    <vt:lpwstr>50, 1, 2, 1</vt:lpwstr>
  </property>
  <property fmtid="{D5CDD505-2E9C-101B-9397-08002B2CF9AE}" pid="10" name="ContentTypeId">
    <vt:lpwstr>0x0101002F68AB19045CF847B0BCE0C2DF8DDDB5</vt:lpwstr>
  </property>
</Properties>
</file>